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77E0D" w14:textId="77777777" w:rsidR="000F1A61" w:rsidRPr="000D5EC9" w:rsidRDefault="00832522" w:rsidP="000F1A61">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w:t>
      </w:r>
      <w:r w:rsidR="00F25C3B">
        <w:rPr>
          <w:b/>
          <w:noProof/>
          <w:sz w:val="24"/>
          <w:lang w:eastAsia="zh-CN"/>
        </w:rPr>
        <w:t>9</w:t>
      </w:r>
      <w:r w:rsidR="00DB6488">
        <w:rPr>
          <w:b/>
          <w:noProof/>
          <w:sz w:val="24"/>
          <w:lang w:eastAsia="zh-CN"/>
        </w:rPr>
        <w:t>6</w:t>
      </w:r>
      <w:r w:rsidR="003C2BDE">
        <w:rPr>
          <w:b/>
          <w:noProof/>
          <w:sz w:val="24"/>
          <w:lang w:eastAsia="zh-CN"/>
        </w:rPr>
        <w:t>-e</w:t>
      </w:r>
      <w:r w:rsidR="000F1A61" w:rsidRPr="000D5EC9">
        <w:rPr>
          <w:rFonts w:cs="Arial"/>
          <w:b/>
          <w:noProof/>
          <w:sz w:val="24"/>
          <w:szCs w:val="24"/>
        </w:rPr>
        <w:tab/>
      </w:r>
      <w:r w:rsidR="00444204">
        <w:rPr>
          <w:rFonts w:eastAsia="宋体" w:cs="Arial"/>
          <w:b/>
          <w:noProof/>
          <w:sz w:val="24"/>
          <w:szCs w:val="24"/>
          <w:lang w:eastAsia="zh-CN"/>
        </w:rPr>
        <w:t>R4-20</w:t>
      </w:r>
      <w:r w:rsidR="004140A3">
        <w:rPr>
          <w:rFonts w:eastAsia="宋体" w:cs="Arial"/>
          <w:b/>
          <w:noProof/>
          <w:sz w:val="24"/>
          <w:szCs w:val="24"/>
          <w:lang w:eastAsia="zh-CN"/>
        </w:rPr>
        <w:t>11010</w:t>
      </w:r>
    </w:p>
    <w:p w14:paraId="52FBB208" w14:textId="77777777" w:rsidR="000F1A61" w:rsidRPr="00924B93" w:rsidRDefault="00DB6488" w:rsidP="00924B93">
      <w:pPr>
        <w:pStyle w:val="CRCoverPage"/>
        <w:outlineLvl w:val="0"/>
        <w:rPr>
          <w:rFonts w:hint="eastAsia"/>
          <w:b/>
          <w:noProof/>
          <w:sz w:val="24"/>
        </w:rPr>
      </w:pPr>
      <w:r>
        <w:rPr>
          <w:b/>
          <w:noProof/>
          <w:sz w:val="24"/>
        </w:rPr>
        <w:t>Electronic Meeting, 17</w:t>
      </w:r>
      <w:r w:rsidRPr="006A7D8F">
        <w:rPr>
          <w:b/>
          <w:noProof/>
          <w:sz w:val="24"/>
          <w:vertAlign w:val="superscript"/>
        </w:rPr>
        <w:t>th</w:t>
      </w:r>
      <w:r w:rsidR="006A7D8F">
        <w:rPr>
          <w:b/>
          <w:noProof/>
          <w:sz w:val="24"/>
        </w:rPr>
        <w:t xml:space="preserve"> </w:t>
      </w:r>
      <w:r w:rsidR="00CB5C55" w:rsidRPr="00CB5C55">
        <w:rPr>
          <w:b/>
          <w:noProof/>
          <w:sz w:val="24"/>
        </w:rPr>
        <w:t xml:space="preserve">– </w:t>
      </w:r>
      <w:r>
        <w:rPr>
          <w:b/>
          <w:noProof/>
          <w:sz w:val="24"/>
        </w:rPr>
        <w:t>28</w:t>
      </w:r>
      <w:r w:rsidRPr="006A7D8F">
        <w:rPr>
          <w:b/>
          <w:noProof/>
          <w:sz w:val="24"/>
          <w:vertAlign w:val="superscript"/>
        </w:rPr>
        <w:t>th</w:t>
      </w:r>
      <w:r w:rsidR="00CB5C55" w:rsidRPr="00CB5C55">
        <w:rPr>
          <w:b/>
          <w:noProof/>
          <w:sz w:val="24"/>
        </w:rPr>
        <w:t xml:space="preserve"> </w:t>
      </w:r>
      <w:r>
        <w:rPr>
          <w:b/>
          <w:noProof/>
          <w:sz w:val="24"/>
        </w:rPr>
        <w:t>Aug</w:t>
      </w:r>
      <w:r w:rsidR="00E55196">
        <w:rPr>
          <w:b/>
          <w:noProof/>
          <w:sz w:val="24"/>
        </w:rPr>
        <w:t>,</w:t>
      </w:r>
      <w:r w:rsidR="00CB5C55" w:rsidRPr="00CB5C55">
        <w:rPr>
          <w:b/>
          <w:noProof/>
          <w:sz w:val="24"/>
        </w:rPr>
        <w:t xml:space="preserve"> 2020</w:t>
      </w:r>
    </w:p>
    <w:p w14:paraId="1CE9B9BF" w14:textId="77777777" w:rsidR="0037119B" w:rsidRPr="000F1A61" w:rsidRDefault="0037119B" w:rsidP="0037119B">
      <w:pPr>
        <w:pStyle w:val="ac"/>
        <w:jc w:val="both"/>
        <w:rPr>
          <w:rFonts w:eastAsia="宋体" w:hint="eastAsia"/>
          <w:b w:val="0"/>
          <w:i w:val="0"/>
          <w:noProof w:val="0"/>
          <w:sz w:val="24"/>
          <w:lang w:eastAsia="zh-CN"/>
        </w:rPr>
      </w:pPr>
    </w:p>
    <w:p w14:paraId="4D8789E3" w14:textId="77777777" w:rsidR="00067A3E" w:rsidRPr="00067A3E" w:rsidRDefault="00067A3E" w:rsidP="0037119B">
      <w:pPr>
        <w:pStyle w:val="ac"/>
        <w:jc w:val="both"/>
        <w:rPr>
          <w:rFonts w:eastAsia="宋体" w:hint="eastAsia"/>
          <w:b w:val="0"/>
          <w:i w:val="0"/>
          <w:noProof w:val="0"/>
          <w:sz w:val="24"/>
          <w:lang w:eastAsia="zh-CN"/>
        </w:rPr>
      </w:pPr>
    </w:p>
    <w:p w14:paraId="63C19777" w14:textId="77777777" w:rsidR="0037119B" w:rsidRPr="00492450" w:rsidRDefault="0037119B" w:rsidP="0037119B">
      <w:pPr>
        <w:tabs>
          <w:tab w:val="left" w:pos="1985"/>
        </w:tabs>
        <w:ind w:left="1980" w:hanging="1980"/>
        <w:rPr>
          <w:rStyle w:val="af8"/>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4D38E6" w:rsidRPr="004D38E6">
        <w:rPr>
          <w:rFonts w:ascii="Arial" w:hAnsi="Arial"/>
          <w:sz w:val="24"/>
          <w:lang w:val="en-US" w:eastAsia="zh-CN"/>
        </w:rPr>
        <w:t>Discussion on NR Rel-16 UE CA normal demodulation requirements</w:t>
      </w:r>
    </w:p>
    <w:p w14:paraId="14DC8D72" w14:textId="77777777" w:rsidR="0037119B" w:rsidRPr="00492450" w:rsidRDefault="0037119B" w:rsidP="004D5606">
      <w:pPr>
        <w:tabs>
          <w:tab w:val="left" w:pos="1985"/>
        </w:tabs>
        <w:rPr>
          <w:rStyle w:val="af8"/>
          <w:rFonts w:hint="eastAsia"/>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14:paraId="6C2B0064" w14:textId="77777777" w:rsidR="0037119B" w:rsidRPr="00492450" w:rsidRDefault="0037119B" w:rsidP="0037119B">
      <w:pPr>
        <w:tabs>
          <w:tab w:val="left" w:pos="1985"/>
        </w:tabs>
        <w:rPr>
          <w:rStyle w:val="af8"/>
          <w:rFonts w:hint="eastAsia"/>
          <w:lang w:val="pt-BR"/>
        </w:rPr>
      </w:pPr>
      <w:r w:rsidRPr="00492450">
        <w:rPr>
          <w:rFonts w:ascii="Arial" w:hAnsi="Arial"/>
          <w:b/>
          <w:sz w:val="24"/>
          <w:lang w:val="pt-BR"/>
        </w:rPr>
        <w:t>Agenda item:</w:t>
      </w:r>
      <w:r w:rsidRPr="00492450">
        <w:rPr>
          <w:rFonts w:ascii="Arial" w:hAnsi="Arial"/>
          <w:sz w:val="24"/>
          <w:lang w:val="pt-BR"/>
        </w:rPr>
        <w:tab/>
      </w:r>
      <w:r w:rsidR="00DB6488">
        <w:rPr>
          <w:rFonts w:ascii="Arial" w:hAnsi="Arial"/>
          <w:sz w:val="24"/>
          <w:lang w:val="pt-BR" w:eastAsia="zh-CN"/>
        </w:rPr>
        <w:t>7</w:t>
      </w:r>
      <w:r w:rsidR="000E6313" w:rsidRPr="00CB5C55">
        <w:rPr>
          <w:rFonts w:ascii="Arial" w:hAnsi="Arial" w:hint="eastAsia"/>
          <w:sz w:val="24"/>
          <w:lang w:val="pt-BR" w:eastAsia="zh-CN"/>
        </w:rPr>
        <w:t>.</w:t>
      </w:r>
      <w:r w:rsidR="00DB6488">
        <w:rPr>
          <w:rFonts w:ascii="Arial" w:hAnsi="Arial"/>
          <w:sz w:val="24"/>
          <w:lang w:val="pt-BR" w:eastAsia="zh-CN"/>
        </w:rPr>
        <w:t>6</w:t>
      </w:r>
      <w:r w:rsidR="000E6313" w:rsidRPr="00CB5C55">
        <w:rPr>
          <w:rFonts w:ascii="Arial" w:hAnsi="Arial" w:hint="eastAsia"/>
          <w:sz w:val="24"/>
          <w:lang w:val="pt-BR" w:eastAsia="zh-CN"/>
        </w:rPr>
        <w:t>.</w:t>
      </w:r>
      <w:r w:rsidR="004D38E6" w:rsidRPr="00CB5C55">
        <w:rPr>
          <w:rFonts w:ascii="Arial" w:hAnsi="Arial"/>
          <w:sz w:val="24"/>
          <w:lang w:val="pt-BR" w:eastAsia="zh-CN"/>
        </w:rPr>
        <w:t>1.1</w:t>
      </w:r>
    </w:p>
    <w:p w14:paraId="48BADC16" w14:textId="77777777" w:rsidR="0037119B" w:rsidRPr="00492450" w:rsidRDefault="0037119B" w:rsidP="0037119B">
      <w:pPr>
        <w:tabs>
          <w:tab w:val="left" w:pos="1985"/>
        </w:tabs>
        <w:ind w:left="1980" w:hanging="1980"/>
        <w:rPr>
          <w:rStyle w:val="af8"/>
          <w:rFonts w:hint="eastAsia"/>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14:paraId="439A173A" w14:textId="77777777" w:rsidR="00DD5AE1" w:rsidRPr="00492450" w:rsidRDefault="00F925F5" w:rsidP="00B47C0A">
      <w:pPr>
        <w:pStyle w:val="1"/>
        <w:rPr>
          <w:rFonts w:eastAsia="宋体" w:hint="eastAsia"/>
          <w:lang w:eastAsia="zh-CN"/>
        </w:rPr>
      </w:pPr>
      <w:r>
        <w:rPr>
          <w:rFonts w:eastAsia="宋体" w:hint="eastAsia"/>
          <w:lang w:eastAsia="zh-CN"/>
        </w:rPr>
        <w:t>Back</w:t>
      </w:r>
      <w:r w:rsidR="00224CDF">
        <w:rPr>
          <w:rFonts w:eastAsia="宋体" w:hint="eastAsia"/>
          <w:lang w:eastAsia="zh-CN"/>
        </w:rPr>
        <w:t>ground</w:t>
      </w:r>
    </w:p>
    <w:p w14:paraId="0979E0BE" w14:textId="77777777" w:rsidR="007C10EB" w:rsidRDefault="00986695" w:rsidP="007C10EB">
      <w:pPr>
        <w:rPr>
          <w:lang w:val="en-US" w:eastAsia="zh-CN"/>
        </w:rPr>
      </w:pPr>
      <w:r>
        <w:rPr>
          <w:lang w:val="en-US" w:eastAsia="zh-CN"/>
        </w:rPr>
        <w:t>Based on the further discussions during</w:t>
      </w:r>
      <w:r w:rsidR="007C10EB">
        <w:rPr>
          <w:lang w:val="en-US" w:eastAsia="zh-CN"/>
        </w:rPr>
        <w:t xml:space="preserve"> RAN4#9</w:t>
      </w:r>
      <w:r w:rsidR="00EA260A">
        <w:rPr>
          <w:lang w:val="en-US" w:eastAsia="zh-CN"/>
        </w:rPr>
        <w:t>5</w:t>
      </w:r>
      <w:r>
        <w:rPr>
          <w:lang w:val="en-US" w:eastAsia="zh-CN"/>
        </w:rPr>
        <w:t>-e</w:t>
      </w:r>
      <w:r w:rsidR="007C10EB">
        <w:rPr>
          <w:lang w:val="en-US" w:eastAsia="zh-CN"/>
        </w:rPr>
        <w:t xml:space="preserve"> meeting, way forward on PDSCH CA normal demodulation requirements [1] </w:t>
      </w:r>
      <w:r w:rsidR="008C0559">
        <w:rPr>
          <w:lang w:val="en-US" w:eastAsia="zh-CN"/>
        </w:rPr>
        <w:t xml:space="preserve">was approved still with </w:t>
      </w:r>
      <w:r w:rsidR="00825DD0">
        <w:rPr>
          <w:lang w:val="en-US" w:eastAsia="zh-CN"/>
        </w:rPr>
        <w:t xml:space="preserve">some </w:t>
      </w:r>
      <w:r w:rsidR="007C10EB">
        <w:rPr>
          <w:lang w:val="en-US" w:eastAsia="zh-CN"/>
        </w:rPr>
        <w:t>open issues</w:t>
      </w:r>
      <w:r w:rsidR="0024632F">
        <w:rPr>
          <w:lang w:val="en-US" w:eastAsia="zh-CN"/>
        </w:rPr>
        <w:t xml:space="preserve"> left.</w:t>
      </w:r>
    </w:p>
    <w:p w14:paraId="23AF963E" w14:textId="77777777" w:rsidR="00492450" w:rsidRPr="00492450" w:rsidRDefault="00492450" w:rsidP="000A4C5A">
      <w:pPr>
        <w:rPr>
          <w:rFonts w:hint="eastAsia"/>
          <w:lang w:val="en-US" w:eastAsia="zh-CN"/>
        </w:rPr>
      </w:pPr>
      <w:r w:rsidRPr="00492450">
        <w:rPr>
          <w:rFonts w:hint="eastAsia"/>
          <w:lang w:val="en-US" w:eastAsia="zh-CN"/>
        </w:rPr>
        <w:t xml:space="preserve">In this contribution, we </w:t>
      </w:r>
      <w:r w:rsidR="00370839">
        <w:rPr>
          <w:lang w:val="en-US" w:eastAsia="zh-CN"/>
        </w:rPr>
        <w:t xml:space="preserve">share our </w:t>
      </w:r>
      <w:r w:rsidR="008C0559">
        <w:rPr>
          <w:lang w:val="en-US" w:eastAsia="zh-CN"/>
        </w:rPr>
        <w:t>analysis and views on those open issues</w:t>
      </w:r>
      <w:r w:rsidRPr="00492450">
        <w:rPr>
          <w:rFonts w:hint="eastAsia"/>
          <w:lang w:val="en-US" w:eastAsia="zh-CN"/>
        </w:rPr>
        <w:t>.</w:t>
      </w:r>
    </w:p>
    <w:p w14:paraId="22238B5D" w14:textId="77777777" w:rsidR="00006AA0" w:rsidRPr="00492450" w:rsidRDefault="00006AA0" w:rsidP="00006AA0">
      <w:pPr>
        <w:pStyle w:val="1"/>
        <w:rPr>
          <w:rFonts w:eastAsia="宋体" w:hint="eastAsia"/>
          <w:lang w:eastAsia="zh-CN"/>
        </w:rPr>
      </w:pPr>
      <w:bookmarkStart w:id="1" w:name="OLE_LINK1"/>
      <w:bookmarkStart w:id="2" w:name="OLE_LINK2"/>
      <w:r w:rsidRPr="00492450">
        <w:rPr>
          <w:rFonts w:eastAsia="宋体" w:hint="eastAsia"/>
          <w:lang w:eastAsia="zh-CN"/>
        </w:rPr>
        <w:t>Discussion</w:t>
      </w:r>
    </w:p>
    <w:p w14:paraId="48A62329" w14:textId="77777777" w:rsidR="001A7AAE" w:rsidRDefault="00871927" w:rsidP="001A7AAE">
      <w:pPr>
        <w:pStyle w:val="20"/>
        <w:ind w:left="0"/>
        <w:rPr>
          <w:rFonts w:eastAsia="宋体" w:hint="eastAsia"/>
          <w:lang w:eastAsia="zh-CN"/>
        </w:rPr>
      </w:pPr>
      <w:r>
        <w:rPr>
          <w:rFonts w:eastAsia="宋体"/>
          <w:lang w:eastAsia="zh-CN"/>
        </w:rPr>
        <w:t>Requirements for TDD-FDD</w:t>
      </w:r>
      <w:r w:rsidR="00FB06DD">
        <w:rPr>
          <w:rFonts w:eastAsia="宋体"/>
          <w:lang w:eastAsia="zh-CN"/>
        </w:rPr>
        <w:t xml:space="preserve"> </w:t>
      </w:r>
      <w:r w:rsidR="00EA260A">
        <w:rPr>
          <w:rFonts w:eastAsia="宋体"/>
          <w:lang w:eastAsia="zh-CN"/>
        </w:rPr>
        <w:t>CA and</w:t>
      </w:r>
      <w:r w:rsidR="00FB06DD">
        <w:rPr>
          <w:rFonts w:eastAsia="宋体"/>
          <w:lang w:eastAsia="zh-CN"/>
        </w:rPr>
        <w:t xml:space="preserve"> TDD-TDD</w:t>
      </w:r>
      <w:r>
        <w:rPr>
          <w:rFonts w:eastAsia="宋体"/>
          <w:lang w:eastAsia="zh-CN"/>
        </w:rPr>
        <w:t xml:space="preserve"> CA with different </w:t>
      </w:r>
      <w:r w:rsidR="00EA260A">
        <w:rPr>
          <w:rFonts w:eastAsia="宋体"/>
          <w:lang w:eastAsia="zh-CN"/>
        </w:rPr>
        <w:t>SCSs</w:t>
      </w:r>
    </w:p>
    <w:p w14:paraId="289FB476" w14:textId="77777777" w:rsidR="007C2370" w:rsidRPr="00EA260A" w:rsidRDefault="00EA260A" w:rsidP="00EA260A">
      <w:pPr>
        <w:numPr>
          <w:ilvl w:val="0"/>
          <w:numId w:val="45"/>
        </w:numPr>
        <w:rPr>
          <w:i/>
          <w:lang w:val="en-US" w:eastAsia="zh-CN"/>
        </w:rPr>
      </w:pPr>
      <w:r w:rsidRPr="00EA260A">
        <w:rPr>
          <w:i/>
          <w:lang w:val="en-US" w:eastAsia="zh-CN"/>
        </w:rPr>
        <w:t>Pcell configuration for performance requirements</w:t>
      </w:r>
    </w:p>
    <w:p w14:paraId="11DAE12C" w14:textId="77777777" w:rsidR="007C2370" w:rsidRPr="00EA260A" w:rsidRDefault="00EA260A" w:rsidP="00EA260A">
      <w:pPr>
        <w:numPr>
          <w:ilvl w:val="1"/>
          <w:numId w:val="45"/>
        </w:numPr>
        <w:rPr>
          <w:i/>
          <w:lang w:val="en-US" w:eastAsia="zh-CN"/>
        </w:rPr>
      </w:pPr>
      <w:r w:rsidRPr="00EA260A">
        <w:rPr>
          <w:i/>
          <w:lang w:eastAsia="zh-CN"/>
        </w:rPr>
        <w:t>Define requirements for both 15kHz Pcell and 30kHz Pcell (for CA with different SCSs) and both FDD 15 kHz Pcell and TDD 15 kHz Pcell (for FDD + TDD CA with 15 kHz SCS)</w:t>
      </w:r>
    </w:p>
    <w:p w14:paraId="14FD0158" w14:textId="77777777" w:rsidR="007C2370" w:rsidRPr="00EA260A" w:rsidRDefault="00EA260A" w:rsidP="00EA260A">
      <w:pPr>
        <w:numPr>
          <w:ilvl w:val="0"/>
          <w:numId w:val="45"/>
        </w:numPr>
        <w:rPr>
          <w:i/>
          <w:lang w:val="en-US" w:eastAsia="zh-CN"/>
        </w:rPr>
      </w:pPr>
      <w:r w:rsidRPr="00EA260A">
        <w:rPr>
          <w:i/>
          <w:lang w:val="en-US" w:eastAsia="zh-CN"/>
        </w:rPr>
        <w:t>Pcell configuration for the test</w:t>
      </w:r>
    </w:p>
    <w:p w14:paraId="492954D3" w14:textId="77777777" w:rsidR="007C2370" w:rsidRPr="00EA260A" w:rsidRDefault="00EA260A" w:rsidP="00EA260A">
      <w:pPr>
        <w:numPr>
          <w:ilvl w:val="1"/>
          <w:numId w:val="45"/>
        </w:numPr>
        <w:rPr>
          <w:i/>
          <w:lang w:val="en-US" w:eastAsia="zh-CN"/>
        </w:rPr>
      </w:pPr>
      <w:r w:rsidRPr="00EA260A">
        <w:rPr>
          <w:i/>
          <w:lang w:val="en-US" w:eastAsia="zh-CN"/>
        </w:rPr>
        <w:t>The test coverage can be considered fulfilled if UE passes any one of scenario with one of the CC as PCell for FDD 15 kHz + TDD 15 kHz</w:t>
      </w:r>
    </w:p>
    <w:p w14:paraId="51A803E9" w14:textId="77777777" w:rsidR="007C2370" w:rsidRPr="00EA260A" w:rsidRDefault="00EA260A" w:rsidP="00EA260A">
      <w:pPr>
        <w:numPr>
          <w:ilvl w:val="1"/>
          <w:numId w:val="45"/>
        </w:numPr>
        <w:rPr>
          <w:i/>
          <w:lang w:val="en-US" w:eastAsia="zh-CN"/>
        </w:rPr>
      </w:pPr>
      <w:r w:rsidRPr="00EA260A">
        <w:rPr>
          <w:i/>
          <w:lang w:val="en-US" w:eastAsia="zh-CN"/>
        </w:rPr>
        <w:t>If Pcell in both carriers are supported for FDD 15 kHz + TDD 30 kHz, configure TDD cell as Pcell</w:t>
      </w:r>
    </w:p>
    <w:p w14:paraId="35AAD2A5" w14:textId="77777777" w:rsidR="007C2370" w:rsidRPr="00EA260A" w:rsidRDefault="00EA260A" w:rsidP="00EA260A">
      <w:pPr>
        <w:numPr>
          <w:ilvl w:val="1"/>
          <w:numId w:val="45"/>
        </w:numPr>
        <w:rPr>
          <w:i/>
          <w:lang w:val="en-US" w:eastAsia="zh-CN"/>
        </w:rPr>
      </w:pPr>
      <w:r w:rsidRPr="00EA260A">
        <w:rPr>
          <w:i/>
          <w:lang w:val="en-US" w:eastAsia="zh-CN"/>
        </w:rPr>
        <w:t xml:space="preserve">If Pcell in both carriers are supported for TDD 15 kHz + TDD 30 kHz, configure </w:t>
      </w:r>
    </w:p>
    <w:p w14:paraId="755FC4FA" w14:textId="77777777" w:rsidR="007C2370" w:rsidRPr="00EA260A" w:rsidRDefault="00EA260A" w:rsidP="00EA260A">
      <w:pPr>
        <w:numPr>
          <w:ilvl w:val="2"/>
          <w:numId w:val="45"/>
        </w:numPr>
        <w:rPr>
          <w:i/>
          <w:lang w:val="en-US" w:eastAsia="zh-CN"/>
        </w:rPr>
      </w:pPr>
      <w:r w:rsidRPr="00EA260A">
        <w:rPr>
          <w:i/>
          <w:lang w:val="en-US" w:eastAsia="zh-CN"/>
        </w:rPr>
        <w:t>Option 1: 15 kHz SCS cell as Pcell</w:t>
      </w:r>
    </w:p>
    <w:p w14:paraId="76149E22" w14:textId="77777777" w:rsidR="007C2370" w:rsidRPr="00EA260A" w:rsidRDefault="00EA260A" w:rsidP="00EA260A">
      <w:pPr>
        <w:numPr>
          <w:ilvl w:val="2"/>
          <w:numId w:val="45"/>
        </w:numPr>
        <w:rPr>
          <w:i/>
          <w:lang w:val="en-US" w:eastAsia="zh-CN"/>
        </w:rPr>
      </w:pPr>
      <w:r w:rsidRPr="00EA260A">
        <w:rPr>
          <w:i/>
          <w:lang w:val="en-US" w:eastAsia="zh-CN"/>
        </w:rPr>
        <w:t>Option 2: 30 kHz SCS cell as Pcell</w:t>
      </w:r>
    </w:p>
    <w:p w14:paraId="10036D2C" w14:textId="77777777" w:rsidR="00EB7007" w:rsidRDefault="00EA260A" w:rsidP="00EA260A">
      <w:pPr>
        <w:rPr>
          <w:lang w:val="en-US" w:eastAsia="zh-CN"/>
        </w:rPr>
      </w:pPr>
      <w:r>
        <w:rPr>
          <w:lang w:val="en-US" w:eastAsia="zh-CN"/>
        </w:rPr>
        <w:t xml:space="preserve">The only left issue is PCell configuration for test of TDD 15 kHz + TDD 30 kHz, </w:t>
      </w:r>
      <w:r w:rsidR="00354FD4">
        <w:rPr>
          <w:lang w:val="en-US" w:eastAsia="zh-CN"/>
        </w:rPr>
        <w:t xml:space="preserve">TDD 30kHz should be the most typical subcarrier spacing for </w:t>
      </w:r>
      <w:r w:rsidR="00A12C33">
        <w:rPr>
          <w:lang w:val="en-US" w:eastAsia="zh-CN"/>
        </w:rPr>
        <w:t>PCell considering the larger bandwidth</w:t>
      </w:r>
      <w:r w:rsidR="00354FD4">
        <w:rPr>
          <w:lang w:val="en-US" w:eastAsia="zh-CN"/>
        </w:rPr>
        <w:t xml:space="preserve">, it is better to use </w:t>
      </w:r>
      <w:r w:rsidR="00A12C33">
        <w:rPr>
          <w:lang w:val="en-US" w:eastAsia="zh-CN"/>
        </w:rPr>
        <w:t xml:space="preserve">cell with </w:t>
      </w:r>
      <w:r w:rsidR="00354FD4">
        <w:rPr>
          <w:lang w:val="en-US" w:eastAsia="zh-CN"/>
        </w:rPr>
        <w:t xml:space="preserve">30kHz SCS as PCell </w:t>
      </w:r>
      <w:r>
        <w:rPr>
          <w:lang w:val="en-US" w:eastAsia="zh-CN"/>
        </w:rPr>
        <w:t xml:space="preserve">for </w:t>
      </w:r>
      <w:r w:rsidR="00922665">
        <w:rPr>
          <w:lang w:val="en-US" w:eastAsia="zh-CN"/>
        </w:rPr>
        <w:t>TDD 15kHz + TDD 30kHz CA</w:t>
      </w:r>
      <w:r>
        <w:rPr>
          <w:lang w:val="en-US" w:eastAsia="zh-CN"/>
        </w:rPr>
        <w:t>.</w:t>
      </w:r>
    </w:p>
    <w:p w14:paraId="6E7FFD55" w14:textId="77777777" w:rsidR="00354FD4" w:rsidRPr="004861D6" w:rsidRDefault="007969C5" w:rsidP="003A0E1A">
      <w:pPr>
        <w:rPr>
          <w:lang w:val="en-US" w:eastAsia="zh-CN"/>
        </w:rPr>
      </w:pPr>
      <w:r w:rsidRPr="00F057CF">
        <w:rPr>
          <w:b/>
          <w:lang w:val="en-US" w:eastAsia="zh-CN"/>
        </w:rPr>
        <w:t>Proposal</w:t>
      </w:r>
      <w:r w:rsidR="003C5672">
        <w:rPr>
          <w:b/>
          <w:lang w:val="en-US" w:eastAsia="zh-CN"/>
        </w:rPr>
        <w:t xml:space="preserve"> </w:t>
      </w:r>
      <w:r w:rsidR="0090702C">
        <w:rPr>
          <w:b/>
          <w:lang w:val="en-US" w:eastAsia="zh-CN"/>
        </w:rPr>
        <w:t>1</w:t>
      </w:r>
      <w:r w:rsidRPr="00F057CF">
        <w:rPr>
          <w:b/>
          <w:lang w:val="en-US" w:eastAsia="zh-CN"/>
        </w:rPr>
        <w:t>:</w:t>
      </w:r>
      <w:r w:rsidR="00BF1129" w:rsidRPr="00BF1129">
        <w:rPr>
          <w:b/>
          <w:lang w:val="en-US" w:eastAsia="zh-CN"/>
        </w:rPr>
        <w:t xml:space="preserve"> </w:t>
      </w:r>
      <w:r w:rsidR="00EA260A">
        <w:rPr>
          <w:b/>
          <w:lang w:val="en-US" w:eastAsia="zh-CN"/>
        </w:rPr>
        <w:t>C</w:t>
      </w:r>
      <w:r w:rsidR="00BF1129" w:rsidRPr="00BF1129">
        <w:rPr>
          <w:b/>
          <w:lang w:val="en-US" w:eastAsia="zh-CN"/>
        </w:rPr>
        <w:t xml:space="preserve">onfigure </w:t>
      </w:r>
      <w:r w:rsidR="00EA260A">
        <w:rPr>
          <w:b/>
          <w:lang w:val="en-US" w:eastAsia="zh-CN"/>
        </w:rPr>
        <w:t xml:space="preserve">TDD cell with </w:t>
      </w:r>
      <w:r w:rsidR="00BF1129" w:rsidRPr="00BF1129">
        <w:rPr>
          <w:b/>
          <w:lang w:val="en-US" w:eastAsia="zh-CN"/>
        </w:rPr>
        <w:t>30</w:t>
      </w:r>
      <w:r w:rsidR="00EA260A">
        <w:rPr>
          <w:b/>
          <w:lang w:val="en-US" w:eastAsia="zh-CN"/>
        </w:rPr>
        <w:t xml:space="preserve"> </w:t>
      </w:r>
      <w:r w:rsidR="00BF1129" w:rsidRPr="00BF1129">
        <w:rPr>
          <w:b/>
          <w:lang w:val="en-US" w:eastAsia="zh-CN"/>
        </w:rPr>
        <w:t>kHz SCS as PCell in TDD 15kHz + TDD 30kHz CA</w:t>
      </w:r>
      <w:r w:rsidRPr="00F057CF">
        <w:rPr>
          <w:b/>
          <w:lang w:val="en-US" w:eastAsia="zh-CN"/>
        </w:rPr>
        <w:t>.</w:t>
      </w:r>
    </w:p>
    <w:p w14:paraId="3F26A99A" w14:textId="77777777" w:rsidR="00EA260A" w:rsidRDefault="00EA260A" w:rsidP="001A7AAE">
      <w:pPr>
        <w:pStyle w:val="20"/>
        <w:ind w:left="0"/>
        <w:rPr>
          <w:rFonts w:eastAsia="宋体"/>
          <w:lang w:eastAsia="zh-CN"/>
        </w:rPr>
      </w:pPr>
      <w:r>
        <w:rPr>
          <w:rFonts w:eastAsia="宋体" w:hint="eastAsia"/>
          <w:lang w:eastAsia="zh-CN"/>
        </w:rPr>
        <w:t>N</w:t>
      </w:r>
      <w:r>
        <w:rPr>
          <w:rFonts w:eastAsia="宋体"/>
          <w:lang w:eastAsia="zh-CN"/>
        </w:rPr>
        <w:t>umber of HARQ process</w:t>
      </w:r>
    </w:p>
    <w:p w14:paraId="49455F5F" w14:textId="77777777" w:rsidR="00EA260A" w:rsidRDefault="00EA260A" w:rsidP="00EA260A">
      <w:pPr>
        <w:rPr>
          <w:lang w:val="en-US" w:eastAsia="zh-CN"/>
        </w:rPr>
      </w:pPr>
      <w:r>
        <w:rPr>
          <w:rFonts w:hint="eastAsia"/>
          <w:lang w:val="en-US" w:eastAsia="zh-CN"/>
        </w:rPr>
        <w:t>A</w:t>
      </w:r>
      <w:r>
        <w:rPr>
          <w:lang w:val="en-US" w:eastAsia="zh-CN"/>
        </w:rPr>
        <w:t>s per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730"/>
        <w:gridCol w:w="2664"/>
        <w:gridCol w:w="2835"/>
      </w:tblGrid>
      <w:tr w:rsidR="00EA260A" w:rsidRPr="0044139E" w14:paraId="456919C9" w14:textId="77777777" w:rsidTr="007C2370">
        <w:tc>
          <w:tcPr>
            <w:tcW w:w="3856" w:type="dxa"/>
            <w:gridSpan w:val="2"/>
            <w:shd w:val="clear" w:color="auto" w:fill="auto"/>
          </w:tcPr>
          <w:p w14:paraId="0568A4F8" w14:textId="77777777" w:rsidR="00EA260A" w:rsidRPr="0044139E" w:rsidRDefault="00EA260A" w:rsidP="007C2370">
            <w:pPr>
              <w:pStyle w:val="afa"/>
              <w:tabs>
                <w:tab w:val="num" w:pos="226"/>
                <w:tab w:val="num" w:pos="284"/>
                <w:tab w:val="left" w:pos="5103"/>
              </w:tabs>
              <w:snapToGrid w:val="0"/>
              <w:spacing w:after="0"/>
              <w:jc w:val="center"/>
              <w:rPr>
                <w:rFonts w:eastAsia="宋体"/>
                <w:b/>
                <w:i/>
                <w:sz w:val="21"/>
                <w:szCs w:val="21"/>
                <w:lang w:eastAsia="zh-CN"/>
              </w:rPr>
            </w:pPr>
            <w:r w:rsidRPr="0044139E">
              <w:rPr>
                <w:rFonts w:eastAsia="宋体" w:hint="eastAsia"/>
                <w:b/>
                <w:i/>
                <w:sz w:val="21"/>
                <w:szCs w:val="21"/>
                <w:lang w:eastAsia="zh-CN"/>
              </w:rPr>
              <w:t>H</w:t>
            </w:r>
            <w:r w:rsidRPr="0044139E">
              <w:rPr>
                <w:rFonts w:eastAsia="宋体"/>
                <w:b/>
                <w:i/>
                <w:sz w:val="21"/>
                <w:szCs w:val="21"/>
                <w:lang w:eastAsia="zh-CN"/>
              </w:rPr>
              <w:t>ARQ process number</w:t>
            </w:r>
          </w:p>
        </w:tc>
        <w:tc>
          <w:tcPr>
            <w:tcW w:w="2664" w:type="dxa"/>
            <w:shd w:val="clear" w:color="auto" w:fill="auto"/>
          </w:tcPr>
          <w:p w14:paraId="1A8D6F53" w14:textId="77777777" w:rsidR="00EA260A" w:rsidRPr="0044139E" w:rsidRDefault="00EA260A" w:rsidP="007C2370">
            <w:pPr>
              <w:pStyle w:val="afa"/>
              <w:tabs>
                <w:tab w:val="num" w:pos="226"/>
                <w:tab w:val="num" w:pos="284"/>
                <w:tab w:val="left" w:pos="5103"/>
              </w:tabs>
              <w:snapToGrid w:val="0"/>
              <w:spacing w:after="0"/>
              <w:jc w:val="center"/>
              <w:rPr>
                <w:rFonts w:eastAsia="宋体"/>
                <w:b/>
                <w:i/>
                <w:sz w:val="21"/>
                <w:szCs w:val="21"/>
                <w:lang w:eastAsia="zh-CN"/>
              </w:rPr>
            </w:pPr>
            <w:r w:rsidRPr="0044139E">
              <w:rPr>
                <w:rFonts w:eastAsia="宋体" w:hint="eastAsia"/>
                <w:b/>
                <w:i/>
                <w:sz w:val="21"/>
                <w:szCs w:val="21"/>
                <w:lang w:eastAsia="zh-CN"/>
              </w:rPr>
              <w:t>C</w:t>
            </w:r>
            <w:r w:rsidRPr="0044139E">
              <w:rPr>
                <w:rFonts w:eastAsia="宋体"/>
                <w:b/>
                <w:i/>
                <w:sz w:val="21"/>
                <w:szCs w:val="21"/>
                <w:lang w:eastAsia="zh-CN"/>
              </w:rPr>
              <w:t xml:space="preserve">Cs with the </w:t>
            </w:r>
            <w:r w:rsidRPr="00E95167">
              <w:rPr>
                <w:rFonts w:eastAsia="宋体"/>
                <w:b/>
                <w:i/>
                <w:sz w:val="21"/>
                <w:szCs w:val="21"/>
                <w:u w:val="single"/>
                <w:lang w:eastAsia="zh-CN"/>
              </w:rPr>
              <w:t>same</w:t>
            </w:r>
            <w:r w:rsidRPr="0044139E">
              <w:rPr>
                <w:rFonts w:eastAsia="宋体"/>
                <w:b/>
                <w:i/>
                <w:sz w:val="21"/>
                <w:szCs w:val="21"/>
                <w:lang w:eastAsia="zh-CN"/>
              </w:rPr>
              <w:t xml:space="preserve"> duplex mode &amp; SCS with PCell</w:t>
            </w:r>
          </w:p>
        </w:tc>
        <w:tc>
          <w:tcPr>
            <w:tcW w:w="2835" w:type="dxa"/>
            <w:shd w:val="clear" w:color="auto" w:fill="auto"/>
          </w:tcPr>
          <w:p w14:paraId="3EF48397" w14:textId="77777777" w:rsidR="00EA260A" w:rsidRPr="0044139E" w:rsidRDefault="00EA260A" w:rsidP="007C2370">
            <w:pPr>
              <w:pStyle w:val="afa"/>
              <w:tabs>
                <w:tab w:val="num" w:pos="226"/>
                <w:tab w:val="num" w:pos="284"/>
                <w:tab w:val="left" w:pos="5103"/>
              </w:tabs>
              <w:snapToGrid w:val="0"/>
              <w:spacing w:after="0"/>
              <w:jc w:val="center"/>
              <w:rPr>
                <w:rFonts w:eastAsia="宋体"/>
                <w:b/>
                <w:i/>
                <w:sz w:val="21"/>
                <w:szCs w:val="21"/>
                <w:lang w:eastAsia="zh-CN"/>
              </w:rPr>
            </w:pPr>
            <w:r w:rsidRPr="0044139E">
              <w:rPr>
                <w:rFonts w:eastAsia="宋体" w:hint="eastAsia"/>
                <w:b/>
                <w:i/>
                <w:sz w:val="21"/>
                <w:szCs w:val="21"/>
                <w:lang w:eastAsia="zh-CN"/>
              </w:rPr>
              <w:t>C</w:t>
            </w:r>
            <w:r w:rsidRPr="0044139E">
              <w:rPr>
                <w:rFonts w:eastAsia="宋体"/>
                <w:b/>
                <w:i/>
                <w:sz w:val="21"/>
                <w:szCs w:val="21"/>
                <w:lang w:eastAsia="zh-CN"/>
              </w:rPr>
              <w:t xml:space="preserve">Cs with the </w:t>
            </w:r>
            <w:r w:rsidRPr="00E95167">
              <w:rPr>
                <w:rFonts w:eastAsia="宋体"/>
                <w:b/>
                <w:i/>
                <w:sz w:val="21"/>
                <w:szCs w:val="21"/>
                <w:u w:val="single"/>
                <w:lang w:eastAsia="zh-CN"/>
              </w:rPr>
              <w:t>different</w:t>
            </w:r>
            <w:r w:rsidRPr="0044139E">
              <w:rPr>
                <w:rFonts w:eastAsia="宋体"/>
                <w:b/>
                <w:i/>
                <w:sz w:val="21"/>
                <w:szCs w:val="21"/>
                <w:lang w:eastAsia="zh-CN"/>
              </w:rPr>
              <w:t xml:space="preserve"> duplex mode &amp; SCS with PCell</w:t>
            </w:r>
          </w:p>
        </w:tc>
      </w:tr>
      <w:tr w:rsidR="00EA260A" w:rsidRPr="0044139E" w14:paraId="7B06B294" w14:textId="77777777" w:rsidTr="007C2370">
        <w:tc>
          <w:tcPr>
            <w:tcW w:w="2126" w:type="dxa"/>
            <w:vMerge w:val="restart"/>
            <w:shd w:val="clear" w:color="auto" w:fill="auto"/>
            <w:vAlign w:val="center"/>
          </w:tcPr>
          <w:p w14:paraId="6C0F1D5E"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F</w:t>
            </w:r>
            <w:r w:rsidRPr="0044139E">
              <w:rPr>
                <w:rFonts w:eastAsia="宋体"/>
                <w:i/>
                <w:sz w:val="21"/>
                <w:szCs w:val="21"/>
                <w:lang w:eastAsia="zh-CN"/>
              </w:rPr>
              <w:t>DD 15 kHz + TDD 30 kHz CA</w:t>
            </w:r>
          </w:p>
        </w:tc>
        <w:tc>
          <w:tcPr>
            <w:tcW w:w="1730" w:type="dxa"/>
            <w:shd w:val="clear" w:color="auto" w:fill="auto"/>
          </w:tcPr>
          <w:p w14:paraId="1AE687D3"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F</w:t>
            </w:r>
            <w:r w:rsidRPr="0044139E">
              <w:rPr>
                <w:rFonts w:eastAsia="宋体"/>
                <w:i/>
                <w:sz w:val="21"/>
                <w:szCs w:val="21"/>
                <w:lang w:eastAsia="zh-CN"/>
              </w:rPr>
              <w:t>DD PCell</w:t>
            </w:r>
          </w:p>
        </w:tc>
        <w:tc>
          <w:tcPr>
            <w:tcW w:w="2664" w:type="dxa"/>
            <w:shd w:val="clear" w:color="auto" w:fill="auto"/>
          </w:tcPr>
          <w:p w14:paraId="18F57A0E"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Pr>
                <w:rFonts w:eastAsia="宋体"/>
                <w:i/>
                <w:sz w:val="21"/>
                <w:szCs w:val="21"/>
                <w:lang w:eastAsia="zh-CN"/>
              </w:rPr>
              <w:t>4</w:t>
            </w:r>
          </w:p>
        </w:tc>
        <w:tc>
          <w:tcPr>
            <w:tcW w:w="2835" w:type="dxa"/>
            <w:shd w:val="clear" w:color="auto" w:fill="auto"/>
          </w:tcPr>
          <w:p w14:paraId="1C581ABE"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8</w:t>
            </w:r>
          </w:p>
        </w:tc>
      </w:tr>
      <w:tr w:rsidR="00EA260A" w:rsidRPr="0044139E" w14:paraId="2B895CD7" w14:textId="77777777" w:rsidTr="007C2370">
        <w:tc>
          <w:tcPr>
            <w:tcW w:w="2126" w:type="dxa"/>
            <w:vMerge/>
            <w:shd w:val="clear" w:color="auto" w:fill="auto"/>
          </w:tcPr>
          <w:p w14:paraId="4AFDC383"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p>
        </w:tc>
        <w:tc>
          <w:tcPr>
            <w:tcW w:w="1730" w:type="dxa"/>
            <w:shd w:val="clear" w:color="auto" w:fill="auto"/>
          </w:tcPr>
          <w:p w14:paraId="04425A3A"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TDD PCell</w:t>
            </w:r>
          </w:p>
        </w:tc>
        <w:tc>
          <w:tcPr>
            <w:tcW w:w="2664" w:type="dxa"/>
            <w:shd w:val="clear" w:color="auto" w:fill="auto"/>
          </w:tcPr>
          <w:p w14:paraId="008C0A30"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8</w:t>
            </w:r>
          </w:p>
        </w:tc>
        <w:tc>
          <w:tcPr>
            <w:tcW w:w="2835" w:type="dxa"/>
            <w:shd w:val="clear" w:color="auto" w:fill="auto"/>
          </w:tcPr>
          <w:p w14:paraId="176F7FDF"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8</w:t>
            </w:r>
          </w:p>
        </w:tc>
      </w:tr>
      <w:tr w:rsidR="00EA260A" w:rsidRPr="0044139E" w14:paraId="3396B4C6" w14:textId="77777777" w:rsidTr="007C2370">
        <w:trPr>
          <w:trHeight w:val="275"/>
        </w:trPr>
        <w:tc>
          <w:tcPr>
            <w:tcW w:w="2126" w:type="dxa"/>
            <w:vMerge w:val="restart"/>
            <w:shd w:val="clear" w:color="auto" w:fill="auto"/>
          </w:tcPr>
          <w:p w14:paraId="4FBB6661"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F</w:t>
            </w:r>
            <w:r w:rsidRPr="0044139E">
              <w:rPr>
                <w:rFonts w:eastAsia="宋体"/>
                <w:i/>
                <w:sz w:val="21"/>
                <w:szCs w:val="21"/>
                <w:lang w:eastAsia="zh-CN"/>
              </w:rPr>
              <w:t>DD 15 kHz + TDD 15 kHz CA</w:t>
            </w:r>
          </w:p>
        </w:tc>
        <w:tc>
          <w:tcPr>
            <w:tcW w:w="1730" w:type="dxa"/>
            <w:shd w:val="clear" w:color="auto" w:fill="auto"/>
          </w:tcPr>
          <w:p w14:paraId="63537742"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F</w:t>
            </w:r>
            <w:r w:rsidRPr="0044139E">
              <w:rPr>
                <w:rFonts w:eastAsia="宋体"/>
                <w:i/>
                <w:sz w:val="21"/>
                <w:szCs w:val="21"/>
                <w:lang w:eastAsia="zh-CN"/>
              </w:rPr>
              <w:t>DD PCell</w:t>
            </w:r>
          </w:p>
        </w:tc>
        <w:tc>
          <w:tcPr>
            <w:tcW w:w="2664" w:type="dxa"/>
            <w:shd w:val="clear" w:color="auto" w:fill="auto"/>
          </w:tcPr>
          <w:p w14:paraId="1413033C"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4</w:t>
            </w:r>
          </w:p>
        </w:tc>
        <w:tc>
          <w:tcPr>
            <w:tcW w:w="2835" w:type="dxa"/>
            <w:shd w:val="clear" w:color="auto" w:fill="auto"/>
          </w:tcPr>
          <w:p w14:paraId="386FC99F"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4</w:t>
            </w:r>
          </w:p>
        </w:tc>
      </w:tr>
      <w:tr w:rsidR="00EA260A" w:rsidRPr="0044139E" w14:paraId="7D49F9DC" w14:textId="77777777" w:rsidTr="007C2370">
        <w:tc>
          <w:tcPr>
            <w:tcW w:w="2126" w:type="dxa"/>
            <w:vMerge/>
            <w:shd w:val="clear" w:color="auto" w:fill="auto"/>
          </w:tcPr>
          <w:p w14:paraId="37A1EBDE"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p>
        </w:tc>
        <w:tc>
          <w:tcPr>
            <w:tcW w:w="1730" w:type="dxa"/>
            <w:shd w:val="clear" w:color="auto" w:fill="auto"/>
          </w:tcPr>
          <w:p w14:paraId="59E2789E"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TDD PCell</w:t>
            </w:r>
          </w:p>
        </w:tc>
        <w:tc>
          <w:tcPr>
            <w:tcW w:w="2664" w:type="dxa"/>
            <w:shd w:val="clear" w:color="auto" w:fill="auto"/>
          </w:tcPr>
          <w:p w14:paraId="603A1E7D"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Pr>
                <w:rFonts w:eastAsia="宋体"/>
                <w:i/>
                <w:sz w:val="21"/>
                <w:szCs w:val="21"/>
                <w:lang w:eastAsia="zh-CN"/>
              </w:rPr>
              <w:t>8</w:t>
            </w:r>
          </w:p>
        </w:tc>
        <w:tc>
          <w:tcPr>
            <w:tcW w:w="2835" w:type="dxa"/>
            <w:shd w:val="clear" w:color="auto" w:fill="auto"/>
          </w:tcPr>
          <w:p w14:paraId="30B07A20"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8</w:t>
            </w:r>
          </w:p>
        </w:tc>
      </w:tr>
      <w:tr w:rsidR="00EA260A" w:rsidRPr="0044139E" w14:paraId="29D46F96" w14:textId="77777777" w:rsidTr="007C2370">
        <w:tc>
          <w:tcPr>
            <w:tcW w:w="2126" w:type="dxa"/>
            <w:vMerge w:val="restart"/>
            <w:shd w:val="clear" w:color="auto" w:fill="auto"/>
          </w:tcPr>
          <w:p w14:paraId="1A035DC4"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TDD 15 kHz + TDD 30 kHz CA</w:t>
            </w:r>
          </w:p>
        </w:tc>
        <w:tc>
          <w:tcPr>
            <w:tcW w:w="1730" w:type="dxa"/>
            <w:shd w:val="clear" w:color="auto" w:fill="auto"/>
          </w:tcPr>
          <w:p w14:paraId="0E30F0F6"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15 kHz PCell</w:t>
            </w:r>
          </w:p>
        </w:tc>
        <w:tc>
          <w:tcPr>
            <w:tcW w:w="2664" w:type="dxa"/>
            <w:shd w:val="clear" w:color="auto" w:fill="auto"/>
          </w:tcPr>
          <w:p w14:paraId="0698CF28"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Pr>
                <w:rFonts w:eastAsia="宋体"/>
                <w:i/>
                <w:sz w:val="21"/>
                <w:szCs w:val="21"/>
                <w:lang w:eastAsia="zh-CN"/>
              </w:rPr>
              <w:t>8</w:t>
            </w:r>
          </w:p>
        </w:tc>
        <w:tc>
          <w:tcPr>
            <w:tcW w:w="2835" w:type="dxa"/>
            <w:shd w:val="clear" w:color="auto" w:fill="auto"/>
          </w:tcPr>
          <w:p w14:paraId="2F4FF771" w14:textId="77777777" w:rsidR="00EA260A" w:rsidRPr="0044139E" w:rsidRDefault="00EA260A" w:rsidP="007C2370">
            <w:pPr>
              <w:pStyle w:val="afa"/>
              <w:tabs>
                <w:tab w:val="num" w:pos="226"/>
                <w:tab w:val="num" w:pos="284"/>
                <w:tab w:val="left" w:pos="5103"/>
              </w:tabs>
              <w:snapToGrid w:val="0"/>
              <w:spacing w:after="0"/>
              <w:jc w:val="center"/>
              <w:rPr>
                <w:rFonts w:eastAsia="宋体" w:hint="eastAsia"/>
                <w:i/>
                <w:sz w:val="21"/>
                <w:szCs w:val="21"/>
                <w:lang w:eastAsia="zh-CN"/>
              </w:rPr>
            </w:pPr>
            <w:r w:rsidRPr="0044139E">
              <w:rPr>
                <w:rFonts w:eastAsia="宋体"/>
                <w:i/>
                <w:sz w:val="21"/>
                <w:szCs w:val="21"/>
                <w:lang w:eastAsia="zh-CN"/>
              </w:rPr>
              <w:t>12</w:t>
            </w:r>
            <w:r>
              <w:rPr>
                <w:rFonts w:eastAsia="宋体"/>
                <w:i/>
                <w:sz w:val="21"/>
                <w:szCs w:val="21"/>
                <w:lang w:eastAsia="zh-CN"/>
              </w:rPr>
              <w:t xml:space="preserve"> (Note 1)</w:t>
            </w:r>
          </w:p>
        </w:tc>
      </w:tr>
      <w:tr w:rsidR="00EA260A" w:rsidRPr="0044139E" w14:paraId="5739BFA7" w14:textId="77777777" w:rsidTr="007C2370">
        <w:trPr>
          <w:trHeight w:val="312"/>
        </w:trPr>
        <w:tc>
          <w:tcPr>
            <w:tcW w:w="2126" w:type="dxa"/>
            <w:vMerge/>
            <w:shd w:val="clear" w:color="auto" w:fill="auto"/>
          </w:tcPr>
          <w:p w14:paraId="55C9968C"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p>
        </w:tc>
        <w:tc>
          <w:tcPr>
            <w:tcW w:w="1730" w:type="dxa"/>
            <w:shd w:val="clear" w:color="auto" w:fill="auto"/>
          </w:tcPr>
          <w:p w14:paraId="31A15685"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30 kHz PCell</w:t>
            </w:r>
          </w:p>
        </w:tc>
        <w:tc>
          <w:tcPr>
            <w:tcW w:w="2664" w:type="dxa"/>
            <w:shd w:val="clear" w:color="auto" w:fill="auto"/>
          </w:tcPr>
          <w:p w14:paraId="1581081B"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8</w:t>
            </w:r>
          </w:p>
        </w:tc>
        <w:tc>
          <w:tcPr>
            <w:tcW w:w="2835" w:type="dxa"/>
            <w:shd w:val="clear" w:color="auto" w:fill="auto"/>
          </w:tcPr>
          <w:p w14:paraId="1220BAD8"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hint="eastAsia"/>
                <w:i/>
                <w:sz w:val="21"/>
                <w:szCs w:val="21"/>
                <w:lang w:eastAsia="zh-CN"/>
              </w:rPr>
              <w:t>O</w:t>
            </w:r>
            <w:r w:rsidRPr="0044139E">
              <w:rPr>
                <w:rFonts w:eastAsia="宋体"/>
                <w:i/>
                <w:sz w:val="21"/>
                <w:szCs w:val="21"/>
                <w:lang w:eastAsia="zh-CN"/>
              </w:rPr>
              <w:t>ption 1: 6</w:t>
            </w:r>
          </w:p>
          <w:p w14:paraId="0CACAB71" w14:textId="77777777" w:rsidR="00EA260A" w:rsidRPr="0044139E" w:rsidRDefault="00EA260A" w:rsidP="007C2370">
            <w:pPr>
              <w:pStyle w:val="afa"/>
              <w:tabs>
                <w:tab w:val="num" w:pos="226"/>
                <w:tab w:val="num" w:pos="284"/>
                <w:tab w:val="left" w:pos="5103"/>
              </w:tabs>
              <w:snapToGrid w:val="0"/>
              <w:spacing w:after="0"/>
              <w:jc w:val="center"/>
              <w:rPr>
                <w:rFonts w:eastAsia="宋体"/>
                <w:i/>
                <w:sz w:val="21"/>
                <w:szCs w:val="21"/>
                <w:lang w:eastAsia="zh-CN"/>
              </w:rPr>
            </w:pPr>
            <w:r w:rsidRPr="0044139E">
              <w:rPr>
                <w:rFonts w:eastAsia="宋体"/>
                <w:i/>
                <w:sz w:val="21"/>
                <w:szCs w:val="21"/>
                <w:lang w:eastAsia="zh-CN"/>
              </w:rPr>
              <w:t>Option 2: 8</w:t>
            </w:r>
          </w:p>
        </w:tc>
      </w:tr>
      <w:tr w:rsidR="00EA260A" w:rsidRPr="0044139E" w14:paraId="0A0396B1" w14:textId="77777777" w:rsidTr="007C2370">
        <w:trPr>
          <w:trHeight w:val="312"/>
        </w:trPr>
        <w:tc>
          <w:tcPr>
            <w:tcW w:w="9355" w:type="dxa"/>
            <w:gridSpan w:val="4"/>
            <w:shd w:val="clear" w:color="auto" w:fill="auto"/>
          </w:tcPr>
          <w:p w14:paraId="5D7A4CF2" w14:textId="77777777" w:rsidR="00EA260A" w:rsidRPr="00FF447A" w:rsidRDefault="00EA260A" w:rsidP="007C2370">
            <w:pPr>
              <w:pStyle w:val="afa"/>
              <w:tabs>
                <w:tab w:val="num" w:pos="226"/>
                <w:tab w:val="num" w:pos="284"/>
              </w:tabs>
              <w:snapToGrid w:val="0"/>
              <w:rPr>
                <w:rFonts w:eastAsia="宋体"/>
                <w:i/>
                <w:sz w:val="21"/>
                <w:szCs w:val="21"/>
                <w:lang w:val="en-US" w:eastAsia="zh-CN"/>
              </w:rPr>
            </w:pPr>
            <w:r w:rsidRPr="00FF447A">
              <w:rPr>
                <w:rFonts w:eastAsia="宋体"/>
                <w:bCs/>
                <w:i/>
                <w:sz w:val="21"/>
                <w:szCs w:val="21"/>
                <w:lang w:val="en-US" w:eastAsia="zh-CN"/>
              </w:rPr>
              <w:lastRenderedPageBreak/>
              <w:t>Note 1: FFS scheduling details:</w:t>
            </w:r>
          </w:p>
          <w:p w14:paraId="37E6D39B" w14:textId="77777777" w:rsidR="00EA260A" w:rsidRPr="00FF447A" w:rsidRDefault="00EA260A" w:rsidP="00EA260A">
            <w:pPr>
              <w:pStyle w:val="afa"/>
              <w:numPr>
                <w:ilvl w:val="0"/>
                <w:numId w:val="46"/>
              </w:numPr>
              <w:tabs>
                <w:tab w:val="num" w:pos="226"/>
                <w:tab w:val="num" w:pos="284"/>
              </w:tabs>
              <w:snapToGrid w:val="0"/>
              <w:rPr>
                <w:rFonts w:eastAsia="宋体"/>
                <w:i/>
                <w:sz w:val="21"/>
                <w:szCs w:val="21"/>
                <w:lang w:val="en-US" w:eastAsia="zh-CN"/>
              </w:rPr>
            </w:pPr>
            <w:r w:rsidRPr="00FF447A">
              <w:rPr>
                <w:rFonts w:eastAsia="宋体"/>
                <w:bCs/>
                <w:i/>
                <w:sz w:val="21"/>
                <w:szCs w:val="21"/>
                <w:lang w:val="en-US" w:eastAsia="zh-CN"/>
              </w:rPr>
              <w:t>Option 1: different RTTs (10 or 20 slots) are used for different HARQ processes, and initial transmission and retransmission are scheduled on the same type of TDD slot.</w:t>
            </w:r>
          </w:p>
          <w:p w14:paraId="2D50A62B" w14:textId="77777777" w:rsidR="00EA260A" w:rsidRPr="00FF447A" w:rsidRDefault="00EA260A" w:rsidP="00EA260A">
            <w:pPr>
              <w:pStyle w:val="afa"/>
              <w:numPr>
                <w:ilvl w:val="0"/>
                <w:numId w:val="46"/>
              </w:numPr>
              <w:tabs>
                <w:tab w:val="num" w:pos="226"/>
                <w:tab w:val="num" w:pos="284"/>
              </w:tabs>
              <w:snapToGrid w:val="0"/>
              <w:rPr>
                <w:rFonts w:eastAsia="宋体" w:hint="eastAsia"/>
                <w:i/>
                <w:sz w:val="21"/>
                <w:szCs w:val="21"/>
                <w:lang w:val="en-US" w:eastAsia="zh-CN"/>
              </w:rPr>
            </w:pPr>
            <w:r w:rsidRPr="00FF447A">
              <w:rPr>
                <w:rFonts w:eastAsia="宋体"/>
                <w:bCs/>
                <w:i/>
                <w:sz w:val="21"/>
                <w:szCs w:val="21"/>
                <w:lang w:val="en-US" w:eastAsia="zh-CN"/>
              </w:rPr>
              <w:t xml:space="preserve">Option 2: initial transmission and retransmission can be scheduled on different types of TDD slot </w:t>
            </w:r>
          </w:p>
        </w:tc>
      </w:tr>
    </w:tbl>
    <w:p w14:paraId="46B8BA53" w14:textId="77777777" w:rsidR="00EA260A" w:rsidRDefault="00EA260A" w:rsidP="00EA260A">
      <w:pPr>
        <w:rPr>
          <w:lang w:val="en-US" w:eastAsia="zh-CN"/>
        </w:rPr>
      </w:pPr>
    </w:p>
    <w:p w14:paraId="37D0DA92" w14:textId="77777777" w:rsidR="007C2370" w:rsidRPr="00422223" w:rsidRDefault="00EA260A" w:rsidP="00EA260A">
      <w:pPr>
        <w:numPr>
          <w:ilvl w:val="0"/>
          <w:numId w:val="47"/>
        </w:numPr>
        <w:rPr>
          <w:i/>
          <w:lang w:val="en-US" w:eastAsia="zh-CN"/>
        </w:rPr>
      </w:pPr>
      <w:r w:rsidRPr="00422223">
        <w:rPr>
          <w:i/>
          <w:lang w:eastAsia="zh-CN"/>
        </w:rPr>
        <w:t>Companies are encouraged to check the performance difference of scheduling options for TDD 15 kHz + TDD 30 kHz CA with 12 HARQ processes</w:t>
      </w:r>
    </w:p>
    <w:p w14:paraId="625DD367" w14:textId="77777777" w:rsidR="007C2370" w:rsidRPr="00422223" w:rsidRDefault="00EA260A" w:rsidP="00EA260A">
      <w:pPr>
        <w:numPr>
          <w:ilvl w:val="1"/>
          <w:numId w:val="47"/>
        </w:numPr>
        <w:rPr>
          <w:i/>
          <w:lang w:val="en-US" w:eastAsia="zh-CN"/>
        </w:rPr>
      </w:pPr>
      <w:r w:rsidRPr="00422223">
        <w:rPr>
          <w:i/>
          <w:lang w:eastAsia="zh-CN"/>
        </w:rPr>
        <w:t>if no simulation results show there is performance impact by scheduling the initial transmission and retransmission in different types of slots, then no need to differentiate the two options in TS 38.101-4</w:t>
      </w:r>
      <w:bookmarkStart w:id="3" w:name="_GoBack"/>
      <w:bookmarkEnd w:id="3"/>
      <w:r w:rsidRPr="00422223">
        <w:rPr>
          <w:i/>
          <w:lang w:eastAsia="zh-CN"/>
        </w:rPr>
        <w:t>.</w:t>
      </w:r>
    </w:p>
    <w:p w14:paraId="4483F162" w14:textId="77777777" w:rsidR="00985894" w:rsidRDefault="00985894" w:rsidP="00985894">
      <w:pPr>
        <w:ind w:left="360"/>
        <w:rPr>
          <w:lang w:val="en-US" w:eastAsia="zh-CN"/>
        </w:rPr>
      </w:pPr>
    </w:p>
    <w:p w14:paraId="14D003B6" w14:textId="77777777" w:rsidR="00244958" w:rsidRDefault="00244958" w:rsidP="00244958">
      <w:pPr>
        <w:rPr>
          <w:lang w:val="en-US" w:eastAsia="zh-CN"/>
        </w:rPr>
      </w:pPr>
      <w:r>
        <w:rPr>
          <w:lang w:val="en-US" w:eastAsia="zh-CN"/>
        </w:rPr>
        <w:t>For c) whether the UL symbols in special slot can be used for carrying PUCCH. As per [5] approved in RAN4#93</w:t>
      </w:r>
      <w:r>
        <w:rPr>
          <w:rFonts w:hint="eastAsia"/>
          <w:lang w:val="en-US" w:eastAsia="zh-CN"/>
        </w:rPr>
        <w:t>,</w:t>
      </w:r>
      <w:r>
        <w:rPr>
          <w:lang w:val="en-US" w:eastAsia="zh-CN"/>
        </w:rPr>
        <w:t xml:space="preserve"> RAN4 agreed to use:</w:t>
      </w:r>
    </w:p>
    <w:p w14:paraId="0B2B1F0F" w14:textId="77777777" w:rsidR="00244958" w:rsidRPr="00C00588" w:rsidRDefault="00244958" w:rsidP="00244958">
      <w:pPr>
        <w:numPr>
          <w:ilvl w:val="0"/>
          <w:numId w:val="49"/>
        </w:numPr>
        <w:rPr>
          <w:i/>
          <w:lang w:val="en-US" w:eastAsia="zh-CN"/>
        </w:rPr>
      </w:pPr>
      <w:r w:rsidRPr="00C00588">
        <w:rPr>
          <w:i/>
          <w:lang w:val="en-US" w:eastAsia="zh-CN"/>
        </w:rPr>
        <w:t>PUCCH group</w:t>
      </w:r>
    </w:p>
    <w:p w14:paraId="10532FEF" w14:textId="77777777" w:rsidR="00244958" w:rsidRPr="00C00588" w:rsidRDefault="00244958" w:rsidP="00244958">
      <w:pPr>
        <w:numPr>
          <w:ilvl w:val="1"/>
          <w:numId w:val="49"/>
        </w:numPr>
        <w:rPr>
          <w:i/>
          <w:lang w:val="en-US" w:eastAsia="zh-CN"/>
        </w:rPr>
      </w:pPr>
      <w:r w:rsidRPr="00C00588">
        <w:rPr>
          <w:i/>
          <w:lang w:val="en-US" w:eastAsia="zh-CN"/>
        </w:rPr>
        <w:t xml:space="preserve">one PUCCH group, i.e., A/N feedback on Pcell  with no UL CA </w:t>
      </w:r>
    </w:p>
    <w:p w14:paraId="6262A11D" w14:textId="77777777" w:rsidR="00244958" w:rsidRPr="00C00588" w:rsidRDefault="00244958" w:rsidP="00244958">
      <w:pPr>
        <w:numPr>
          <w:ilvl w:val="0"/>
          <w:numId w:val="49"/>
        </w:numPr>
        <w:rPr>
          <w:i/>
          <w:lang w:val="en-US" w:eastAsia="zh-CN"/>
        </w:rPr>
      </w:pPr>
      <w:r w:rsidRPr="00C00588">
        <w:rPr>
          <w:i/>
          <w:lang w:val="en-US" w:eastAsia="zh-CN"/>
        </w:rPr>
        <w:t>PUCCH format for A/N feedback</w:t>
      </w:r>
    </w:p>
    <w:p w14:paraId="7CCBC5B3" w14:textId="77777777" w:rsidR="00244958" w:rsidRPr="00C00588" w:rsidRDefault="00244958" w:rsidP="00244958">
      <w:pPr>
        <w:numPr>
          <w:ilvl w:val="1"/>
          <w:numId w:val="49"/>
        </w:numPr>
        <w:rPr>
          <w:i/>
          <w:lang w:val="en-US" w:eastAsia="zh-CN"/>
        </w:rPr>
      </w:pPr>
      <w:r w:rsidRPr="00C00588">
        <w:rPr>
          <w:i/>
          <w:lang w:val="en-US" w:eastAsia="zh-CN"/>
        </w:rPr>
        <w:t xml:space="preserve">use PUCCH format 1 for no more than 2 DL CCs, and use PUCCH format 3 for more than 2 DL CCs. </w:t>
      </w:r>
    </w:p>
    <w:p w14:paraId="306C6102" w14:textId="77777777" w:rsidR="00244958" w:rsidRDefault="00244958" w:rsidP="00244958">
      <w:pPr>
        <w:rPr>
          <w:lang w:val="en-US" w:eastAsia="zh-CN"/>
        </w:rPr>
      </w:pPr>
      <w:r>
        <w:rPr>
          <w:lang w:val="en-US" w:eastAsia="zh-CN"/>
        </w:rPr>
        <w:t>As per TS 38.211:</w:t>
      </w:r>
    </w:p>
    <w:p w14:paraId="48D262AB" w14:textId="77777777" w:rsidR="00244958" w:rsidRDefault="00244958" w:rsidP="00244958">
      <w:pPr>
        <w:pStyle w:val="TH"/>
      </w:pPr>
      <w:r>
        <w:t>Table 6.3.2.1-1: PUCCH formats.[TS 38.211]</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244958" w14:paraId="3D3CD6A6" w14:textId="77777777" w:rsidTr="009247FA">
        <w:trPr>
          <w:jc w:val="center"/>
        </w:trPr>
        <w:tc>
          <w:tcPr>
            <w:tcW w:w="1809" w:type="dxa"/>
            <w:shd w:val="clear" w:color="auto" w:fill="auto"/>
          </w:tcPr>
          <w:p w14:paraId="4A2004E6" w14:textId="77777777" w:rsidR="00244958" w:rsidRPr="00396209" w:rsidRDefault="00244958" w:rsidP="009247FA">
            <w:pPr>
              <w:pStyle w:val="TAH"/>
              <w:rPr>
                <w:rFonts w:eastAsia="Batang"/>
              </w:rPr>
            </w:pPr>
            <w:r w:rsidRPr="00396209">
              <w:rPr>
                <w:rFonts w:eastAsia="Batang"/>
              </w:rPr>
              <w:t>PUCCH format</w:t>
            </w:r>
          </w:p>
        </w:tc>
        <w:tc>
          <w:tcPr>
            <w:tcW w:w="2835" w:type="dxa"/>
            <w:shd w:val="clear" w:color="auto" w:fill="auto"/>
          </w:tcPr>
          <w:p w14:paraId="4968D009" w14:textId="77777777" w:rsidR="00244958" w:rsidRPr="00396209" w:rsidRDefault="00244958" w:rsidP="009247FA">
            <w:pPr>
              <w:pStyle w:val="TAH"/>
              <w:rPr>
                <w:rFonts w:eastAsia="Batang"/>
              </w:rPr>
            </w:pPr>
            <w:r w:rsidRPr="00396209">
              <w:rPr>
                <w:rFonts w:eastAsia="Batang"/>
              </w:rPr>
              <w:t>Length in OFDM symbols</w:t>
            </w:r>
            <w:r>
              <w:rPr>
                <w:rFonts w:eastAsia="Batang"/>
              </w:rPr>
              <w:t xml:space="preserve"> </w:t>
            </w:r>
            <w:r w:rsidRPr="000A5D2F">
              <w:rPr>
                <w:position w:val="-14"/>
              </w:rPr>
              <w:object w:dxaOrig="720" w:dyaOrig="380" w14:anchorId="709F4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9.15pt" o:ole="">
                  <v:imagedata r:id="rId8" o:title=""/>
                </v:shape>
                <o:OLEObject Type="Embed" ProgID="Equation.3" ShapeID="_x0000_i1025" DrawAspect="Content" ObjectID="_1658363605" r:id="rId9"/>
              </w:object>
            </w:r>
          </w:p>
        </w:tc>
        <w:tc>
          <w:tcPr>
            <w:tcW w:w="2322" w:type="dxa"/>
            <w:shd w:val="clear" w:color="auto" w:fill="auto"/>
          </w:tcPr>
          <w:p w14:paraId="5501B2FF" w14:textId="77777777" w:rsidR="00244958" w:rsidRPr="00396209" w:rsidRDefault="00244958" w:rsidP="009247FA">
            <w:pPr>
              <w:pStyle w:val="TAH"/>
              <w:rPr>
                <w:rFonts w:eastAsia="Batang"/>
              </w:rPr>
            </w:pPr>
            <w:r w:rsidRPr="00396209">
              <w:rPr>
                <w:rFonts w:eastAsia="Batang"/>
              </w:rPr>
              <w:t>Number of bits</w:t>
            </w:r>
          </w:p>
        </w:tc>
      </w:tr>
      <w:tr w:rsidR="00244958" w14:paraId="466BF50B" w14:textId="77777777" w:rsidTr="009247FA">
        <w:trPr>
          <w:jc w:val="center"/>
        </w:trPr>
        <w:tc>
          <w:tcPr>
            <w:tcW w:w="1809" w:type="dxa"/>
            <w:shd w:val="clear" w:color="auto" w:fill="auto"/>
          </w:tcPr>
          <w:p w14:paraId="62037B5D" w14:textId="77777777" w:rsidR="00244958" w:rsidRPr="00396209" w:rsidRDefault="00244958" w:rsidP="009247FA">
            <w:pPr>
              <w:pStyle w:val="TAC"/>
              <w:rPr>
                <w:rFonts w:eastAsia="Batang"/>
              </w:rPr>
            </w:pPr>
            <w:r>
              <w:rPr>
                <w:rFonts w:eastAsia="Batang"/>
              </w:rPr>
              <w:t>0</w:t>
            </w:r>
          </w:p>
        </w:tc>
        <w:tc>
          <w:tcPr>
            <w:tcW w:w="2835" w:type="dxa"/>
            <w:shd w:val="clear" w:color="auto" w:fill="auto"/>
          </w:tcPr>
          <w:p w14:paraId="3AA08F8E" w14:textId="77777777" w:rsidR="00244958" w:rsidRPr="00396209" w:rsidRDefault="00244958" w:rsidP="009247FA">
            <w:pPr>
              <w:pStyle w:val="TAC"/>
              <w:rPr>
                <w:rFonts w:eastAsia="Batang"/>
              </w:rPr>
            </w:pPr>
            <w:r>
              <w:rPr>
                <w:rFonts w:eastAsia="Batang"/>
              </w:rPr>
              <w:t>1 – 2</w:t>
            </w:r>
          </w:p>
        </w:tc>
        <w:tc>
          <w:tcPr>
            <w:tcW w:w="2322" w:type="dxa"/>
            <w:shd w:val="clear" w:color="auto" w:fill="auto"/>
          </w:tcPr>
          <w:p w14:paraId="3CAFFC39" w14:textId="77777777" w:rsidR="00244958" w:rsidRPr="00396209" w:rsidRDefault="00244958" w:rsidP="009247FA">
            <w:pPr>
              <w:pStyle w:val="TAC"/>
              <w:rPr>
                <w:rFonts w:eastAsia="Batang"/>
              </w:rPr>
            </w:pPr>
            <w:r>
              <w:rPr>
                <w:rFonts w:eastAsia="Batang" w:cs="Arial"/>
              </w:rPr>
              <w:t>≤</w:t>
            </w:r>
            <w:r>
              <w:rPr>
                <w:rFonts w:eastAsia="Batang"/>
              </w:rPr>
              <w:t>2</w:t>
            </w:r>
          </w:p>
        </w:tc>
      </w:tr>
      <w:tr w:rsidR="00244958" w14:paraId="116E7F23" w14:textId="77777777" w:rsidTr="009247FA">
        <w:trPr>
          <w:jc w:val="center"/>
        </w:trPr>
        <w:tc>
          <w:tcPr>
            <w:tcW w:w="1809" w:type="dxa"/>
            <w:shd w:val="clear" w:color="auto" w:fill="auto"/>
          </w:tcPr>
          <w:p w14:paraId="36A474C6" w14:textId="77777777" w:rsidR="00244958" w:rsidRPr="005E3D66" w:rsidRDefault="00244958" w:rsidP="009247FA">
            <w:pPr>
              <w:pStyle w:val="TAC"/>
              <w:rPr>
                <w:rFonts w:eastAsia="Batang"/>
                <w:highlight w:val="yellow"/>
              </w:rPr>
            </w:pPr>
            <w:r w:rsidRPr="005E3D66">
              <w:rPr>
                <w:rFonts w:eastAsia="Batang"/>
                <w:highlight w:val="yellow"/>
              </w:rPr>
              <w:t>1</w:t>
            </w:r>
          </w:p>
        </w:tc>
        <w:tc>
          <w:tcPr>
            <w:tcW w:w="2835" w:type="dxa"/>
            <w:shd w:val="clear" w:color="auto" w:fill="auto"/>
          </w:tcPr>
          <w:p w14:paraId="5E20983C" w14:textId="77777777" w:rsidR="00244958" w:rsidRPr="005E3D66" w:rsidRDefault="00244958" w:rsidP="009247FA">
            <w:pPr>
              <w:pStyle w:val="TAC"/>
              <w:rPr>
                <w:rFonts w:eastAsia="Batang"/>
                <w:highlight w:val="yellow"/>
              </w:rPr>
            </w:pPr>
            <w:r w:rsidRPr="005E3D66">
              <w:rPr>
                <w:rFonts w:eastAsia="Batang"/>
                <w:highlight w:val="yellow"/>
              </w:rPr>
              <w:t>4 – 14</w:t>
            </w:r>
          </w:p>
        </w:tc>
        <w:tc>
          <w:tcPr>
            <w:tcW w:w="2322" w:type="dxa"/>
            <w:shd w:val="clear" w:color="auto" w:fill="auto"/>
          </w:tcPr>
          <w:p w14:paraId="237D1A81" w14:textId="77777777" w:rsidR="00244958" w:rsidRPr="005E3D66" w:rsidRDefault="00244958" w:rsidP="009247FA">
            <w:pPr>
              <w:pStyle w:val="TAC"/>
              <w:rPr>
                <w:rFonts w:eastAsia="Batang"/>
                <w:highlight w:val="yellow"/>
              </w:rPr>
            </w:pPr>
            <w:r w:rsidRPr="005E3D66">
              <w:rPr>
                <w:rFonts w:eastAsia="Batang" w:cs="Arial"/>
                <w:highlight w:val="yellow"/>
              </w:rPr>
              <w:t>≤</w:t>
            </w:r>
            <w:r w:rsidRPr="005E3D66">
              <w:rPr>
                <w:rFonts w:eastAsia="Batang"/>
                <w:highlight w:val="yellow"/>
              </w:rPr>
              <w:t>2</w:t>
            </w:r>
          </w:p>
        </w:tc>
      </w:tr>
      <w:tr w:rsidR="00244958" w14:paraId="15550858" w14:textId="77777777" w:rsidTr="009247FA">
        <w:trPr>
          <w:jc w:val="center"/>
        </w:trPr>
        <w:tc>
          <w:tcPr>
            <w:tcW w:w="1809" w:type="dxa"/>
            <w:shd w:val="clear" w:color="auto" w:fill="auto"/>
          </w:tcPr>
          <w:p w14:paraId="57102500" w14:textId="77777777" w:rsidR="00244958" w:rsidRPr="00396209" w:rsidRDefault="00244958" w:rsidP="009247FA">
            <w:pPr>
              <w:pStyle w:val="TAC"/>
              <w:rPr>
                <w:rFonts w:eastAsia="Batang"/>
              </w:rPr>
            </w:pPr>
            <w:r>
              <w:rPr>
                <w:rFonts w:eastAsia="Batang"/>
              </w:rPr>
              <w:t>2</w:t>
            </w:r>
          </w:p>
        </w:tc>
        <w:tc>
          <w:tcPr>
            <w:tcW w:w="2835" w:type="dxa"/>
            <w:shd w:val="clear" w:color="auto" w:fill="auto"/>
          </w:tcPr>
          <w:p w14:paraId="21684F30" w14:textId="77777777" w:rsidR="00244958" w:rsidRPr="00396209" w:rsidRDefault="00244958" w:rsidP="009247FA">
            <w:pPr>
              <w:pStyle w:val="TAC"/>
              <w:rPr>
                <w:rFonts w:eastAsia="Batang"/>
              </w:rPr>
            </w:pPr>
            <w:r>
              <w:rPr>
                <w:rFonts w:eastAsia="Batang"/>
              </w:rPr>
              <w:t>1 – 2</w:t>
            </w:r>
          </w:p>
        </w:tc>
        <w:tc>
          <w:tcPr>
            <w:tcW w:w="2322" w:type="dxa"/>
            <w:shd w:val="clear" w:color="auto" w:fill="auto"/>
          </w:tcPr>
          <w:p w14:paraId="39B2A447" w14:textId="77777777" w:rsidR="00244958" w:rsidRPr="00396209" w:rsidRDefault="00244958" w:rsidP="009247FA">
            <w:pPr>
              <w:pStyle w:val="TAC"/>
              <w:rPr>
                <w:rFonts w:eastAsia="Batang"/>
              </w:rPr>
            </w:pPr>
            <w:r>
              <w:rPr>
                <w:rFonts w:eastAsia="Batang"/>
              </w:rPr>
              <w:t>&gt;2</w:t>
            </w:r>
          </w:p>
        </w:tc>
      </w:tr>
      <w:tr w:rsidR="00244958" w14:paraId="443A7012" w14:textId="77777777" w:rsidTr="009247FA">
        <w:trPr>
          <w:jc w:val="center"/>
        </w:trPr>
        <w:tc>
          <w:tcPr>
            <w:tcW w:w="1809" w:type="dxa"/>
            <w:shd w:val="clear" w:color="auto" w:fill="auto"/>
          </w:tcPr>
          <w:p w14:paraId="7A2DD58E" w14:textId="77777777" w:rsidR="00244958" w:rsidRPr="005E3D66" w:rsidRDefault="00244958" w:rsidP="009247FA">
            <w:pPr>
              <w:pStyle w:val="TAC"/>
              <w:rPr>
                <w:rFonts w:eastAsia="Batang"/>
                <w:highlight w:val="yellow"/>
              </w:rPr>
            </w:pPr>
            <w:r w:rsidRPr="005E3D66">
              <w:rPr>
                <w:rFonts w:eastAsia="Batang"/>
                <w:highlight w:val="yellow"/>
              </w:rPr>
              <w:t>3</w:t>
            </w:r>
          </w:p>
        </w:tc>
        <w:tc>
          <w:tcPr>
            <w:tcW w:w="2835" w:type="dxa"/>
            <w:shd w:val="clear" w:color="auto" w:fill="auto"/>
          </w:tcPr>
          <w:p w14:paraId="4B66B4A0" w14:textId="77777777" w:rsidR="00244958" w:rsidRPr="005E3D66" w:rsidRDefault="00244958" w:rsidP="009247FA">
            <w:pPr>
              <w:pStyle w:val="TAC"/>
              <w:rPr>
                <w:rFonts w:eastAsia="Batang"/>
                <w:highlight w:val="yellow"/>
              </w:rPr>
            </w:pPr>
            <w:r w:rsidRPr="005E3D66">
              <w:rPr>
                <w:rFonts w:eastAsia="Batang"/>
                <w:highlight w:val="yellow"/>
              </w:rPr>
              <w:t>4 – 14</w:t>
            </w:r>
          </w:p>
        </w:tc>
        <w:tc>
          <w:tcPr>
            <w:tcW w:w="2322" w:type="dxa"/>
            <w:shd w:val="clear" w:color="auto" w:fill="auto"/>
          </w:tcPr>
          <w:p w14:paraId="3E2C4AB2" w14:textId="77777777" w:rsidR="00244958" w:rsidRPr="005E3D66" w:rsidRDefault="00244958" w:rsidP="009247FA">
            <w:pPr>
              <w:pStyle w:val="TAC"/>
              <w:rPr>
                <w:rFonts w:eastAsia="Batang"/>
                <w:highlight w:val="yellow"/>
              </w:rPr>
            </w:pPr>
            <w:r w:rsidRPr="005E3D66">
              <w:rPr>
                <w:rFonts w:eastAsia="Batang"/>
                <w:highlight w:val="yellow"/>
              </w:rPr>
              <w:t>&gt;2</w:t>
            </w:r>
          </w:p>
        </w:tc>
      </w:tr>
      <w:tr w:rsidR="00244958" w14:paraId="5A247F48" w14:textId="77777777" w:rsidTr="009247FA">
        <w:trPr>
          <w:jc w:val="center"/>
        </w:trPr>
        <w:tc>
          <w:tcPr>
            <w:tcW w:w="1809" w:type="dxa"/>
            <w:shd w:val="clear" w:color="auto" w:fill="auto"/>
          </w:tcPr>
          <w:p w14:paraId="10EA417A" w14:textId="77777777" w:rsidR="00244958" w:rsidRDefault="00244958" w:rsidP="009247FA">
            <w:pPr>
              <w:pStyle w:val="TAC"/>
              <w:rPr>
                <w:rFonts w:eastAsia="Batang"/>
              </w:rPr>
            </w:pPr>
            <w:r>
              <w:rPr>
                <w:rFonts w:eastAsia="Batang"/>
              </w:rPr>
              <w:t>4</w:t>
            </w:r>
          </w:p>
        </w:tc>
        <w:tc>
          <w:tcPr>
            <w:tcW w:w="2835" w:type="dxa"/>
            <w:shd w:val="clear" w:color="auto" w:fill="auto"/>
          </w:tcPr>
          <w:p w14:paraId="05DE9E1F" w14:textId="77777777" w:rsidR="00244958" w:rsidRDefault="00244958" w:rsidP="009247FA">
            <w:pPr>
              <w:pStyle w:val="TAC"/>
              <w:rPr>
                <w:rFonts w:eastAsia="Batang"/>
              </w:rPr>
            </w:pPr>
            <w:r>
              <w:rPr>
                <w:rFonts w:eastAsia="Batang"/>
              </w:rPr>
              <w:t>4 – 14</w:t>
            </w:r>
          </w:p>
        </w:tc>
        <w:tc>
          <w:tcPr>
            <w:tcW w:w="2322" w:type="dxa"/>
            <w:shd w:val="clear" w:color="auto" w:fill="auto"/>
          </w:tcPr>
          <w:p w14:paraId="4864B299" w14:textId="77777777" w:rsidR="00244958" w:rsidRDefault="00244958" w:rsidP="009247FA">
            <w:pPr>
              <w:pStyle w:val="TAC"/>
              <w:rPr>
                <w:rFonts w:eastAsia="Batang"/>
              </w:rPr>
            </w:pPr>
            <w:r>
              <w:rPr>
                <w:rFonts w:eastAsia="Batang"/>
              </w:rPr>
              <w:t>&gt;2</w:t>
            </w:r>
          </w:p>
        </w:tc>
      </w:tr>
    </w:tbl>
    <w:p w14:paraId="4533D5FB" w14:textId="77777777" w:rsidR="00244958" w:rsidRDefault="00244958" w:rsidP="00244958"/>
    <w:p w14:paraId="70A4DC71" w14:textId="77777777" w:rsidR="00244958" w:rsidRDefault="00244958" w:rsidP="00244958">
      <w:pPr>
        <w:rPr>
          <w:lang w:val="en-US" w:eastAsia="zh-CN"/>
        </w:rPr>
      </w:pPr>
      <w:r>
        <w:rPr>
          <w:lang w:val="en-US" w:eastAsia="zh-CN"/>
        </w:rPr>
        <w:t>The least number of OFDM symbols of PUCCH for HARQ-ACK is 4, i.e. the UL symbols in special slot for TDD pattern “DDDSU” with S=10:2:2 for TDD 15kHz SCS cannot be used</w:t>
      </w:r>
      <w:r w:rsidR="000E4C86">
        <w:rPr>
          <w:lang w:val="en-US" w:eastAsia="zh-CN"/>
        </w:rPr>
        <w:t>.</w:t>
      </w:r>
      <w:r>
        <w:rPr>
          <w:lang w:val="en-US" w:eastAsia="zh-CN"/>
        </w:rPr>
        <w:t xml:space="preserve"> </w:t>
      </w:r>
      <w:r w:rsidR="000E4C86">
        <w:rPr>
          <w:lang w:val="en-US" w:eastAsia="zh-CN"/>
        </w:rPr>
        <w:t>For</w:t>
      </w:r>
      <w:r>
        <w:rPr>
          <w:lang w:val="en-US" w:eastAsia="zh-CN"/>
        </w:rPr>
        <w:t xml:space="preserve"> TDD pattern</w:t>
      </w:r>
      <w:r w:rsidR="000E4C86">
        <w:rPr>
          <w:lang w:val="en-US" w:eastAsia="zh-CN"/>
        </w:rPr>
        <w:t xml:space="preserve"> of</w:t>
      </w:r>
      <w:r>
        <w:rPr>
          <w:lang w:val="en-US" w:eastAsia="zh-CN"/>
        </w:rPr>
        <w:t xml:space="preserve"> “7D1S2U” with S=6:4</w:t>
      </w:r>
      <w:r>
        <w:rPr>
          <w:rFonts w:hint="eastAsia"/>
          <w:lang w:val="en-US" w:eastAsia="zh-CN"/>
        </w:rPr>
        <w:t>:</w:t>
      </w:r>
      <w:r>
        <w:rPr>
          <w:lang w:val="en-US" w:eastAsia="zh-CN"/>
        </w:rPr>
        <w:t>4 for TDD 30kHz SCS, it is better not use the special slot for HARQ-ACK feedback considering the possible larger number of aggregated CCs for NR CA and future proof.</w:t>
      </w:r>
    </w:p>
    <w:p w14:paraId="7FA9C838" w14:textId="77777777" w:rsidR="00244958" w:rsidRDefault="00244958" w:rsidP="00244958">
      <w:pPr>
        <w:rPr>
          <w:lang w:val="en-US" w:eastAsia="zh-CN"/>
        </w:rPr>
      </w:pPr>
      <w:r>
        <w:rPr>
          <w:rFonts w:hint="eastAsia"/>
          <w:lang w:val="en-US" w:eastAsia="zh-CN"/>
        </w:rPr>
        <w:t>B</w:t>
      </w:r>
      <w:r>
        <w:rPr>
          <w:lang w:val="en-US" w:eastAsia="zh-CN"/>
        </w:rPr>
        <w:t>ased on further discussion during</w:t>
      </w:r>
      <w:r w:rsidR="000E4C86">
        <w:rPr>
          <w:lang w:val="en-US" w:eastAsia="zh-CN"/>
        </w:rPr>
        <w:t xml:space="preserve"> RAN4#94-e</w:t>
      </w:r>
      <w:r>
        <w:rPr>
          <w:lang w:val="en-US" w:eastAsia="zh-CN"/>
        </w:rPr>
        <w:t xml:space="preserve"> as per [6]</w:t>
      </w:r>
      <w:r w:rsidR="000E4C86">
        <w:rPr>
          <w:lang w:val="en-US" w:eastAsia="zh-CN"/>
        </w:rPr>
        <w:t>, RAN4 agreed “</w:t>
      </w:r>
      <w:r w:rsidR="000E4C86" w:rsidRPr="000E4C86">
        <w:rPr>
          <w:u w:val="single"/>
          <w:lang w:val="en-US" w:eastAsia="zh-CN"/>
        </w:rPr>
        <w:t>The UL symbols in special slot is not used for carrying PUCCH</w:t>
      </w:r>
      <w:r w:rsidR="000E4C86">
        <w:rPr>
          <w:lang w:val="en-US" w:eastAsia="zh-CN"/>
        </w:rPr>
        <w:t>”.</w:t>
      </w:r>
    </w:p>
    <w:p w14:paraId="2F72FF36" w14:textId="77777777" w:rsidR="00AA7829" w:rsidRPr="00244958" w:rsidRDefault="00AA7829" w:rsidP="00244958">
      <w:pPr>
        <w:rPr>
          <w:rFonts w:hint="eastAsia"/>
          <w:lang w:val="en-US" w:eastAsia="zh-CN"/>
        </w:rPr>
      </w:pPr>
      <w:r>
        <w:rPr>
          <w:lang w:val="en-US" w:eastAsia="zh-CN"/>
        </w:rPr>
        <w:t xml:space="preserve">For Option 1 of Note 1, for </w:t>
      </w:r>
      <w:r w:rsidRPr="00AA7829">
        <w:rPr>
          <w:lang w:val="en-US" w:eastAsia="zh-CN"/>
        </w:rPr>
        <w:t>TDD 15 kHz</w:t>
      </w:r>
      <w:r>
        <w:rPr>
          <w:lang w:val="en-US" w:eastAsia="zh-CN"/>
        </w:rPr>
        <w:t xml:space="preserve"> PCell and</w:t>
      </w:r>
      <w:r w:rsidRPr="00AA7829">
        <w:rPr>
          <w:lang w:val="en-US" w:eastAsia="zh-CN"/>
        </w:rPr>
        <w:t xml:space="preserve"> TDD 30 kHz </w:t>
      </w:r>
      <w:r>
        <w:rPr>
          <w:lang w:val="en-US" w:eastAsia="zh-CN"/>
        </w:rPr>
        <w:t xml:space="preserve">SCell </w:t>
      </w:r>
      <w:r w:rsidRPr="00AA7829">
        <w:rPr>
          <w:lang w:val="en-US" w:eastAsia="zh-CN"/>
        </w:rPr>
        <w:t>CA</w:t>
      </w:r>
      <w:r>
        <w:rPr>
          <w:lang w:val="en-US" w:eastAsia="zh-CN"/>
        </w:rPr>
        <w:t>, as per the analysis in [7]</w:t>
      </w:r>
      <w:r w:rsidR="0088677B">
        <w:rPr>
          <w:lang w:val="en-US" w:eastAsia="zh-CN"/>
        </w:rPr>
        <w:t xml:space="preserve"> as shown below</w:t>
      </w:r>
      <w:r w:rsidR="007E26C6">
        <w:rPr>
          <w:lang w:val="en-US" w:eastAsia="zh-CN"/>
        </w:rPr>
        <w:t xml:space="preserve">, </w:t>
      </w:r>
      <w:r w:rsidR="00E27A25">
        <w:rPr>
          <w:lang w:val="en-US" w:eastAsia="zh-CN"/>
        </w:rPr>
        <w:t>HARQ process #7</w:t>
      </w:r>
      <w:r w:rsidR="007E26C6">
        <w:rPr>
          <w:lang w:val="en-US" w:eastAsia="zh-CN"/>
        </w:rPr>
        <w:t xml:space="preserve"> and 11</w:t>
      </w:r>
      <w:r w:rsidR="00E27A25">
        <w:rPr>
          <w:lang w:val="en-US" w:eastAsia="zh-CN"/>
        </w:rPr>
        <w:t xml:space="preserve"> </w:t>
      </w:r>
      <w:r w:rsidR="007E26C6">
        <w:rPr>
          <w:lang w:val="en-US" w:eastAsia="zh-CN"/>
        </w:rPr>
        <w:t xml:space="preserve">are </w:t>
      </w:r>
      <w:r w:rsidR="00E27A25">
        <w:rPr>
          <w:lang w:val="en-US" w:eastAsia="zh-CN"/>
        </w:rPr>
        <w:t>scheduled in special slot, t</w:t>
      </w:r>
      <w:r w:rsidR="007E26C6">
        <w:rPr>
          <w:lang w:val="en-US" w:eastAsia="zh-CN"/>
        </w:rPr>
        <w:t>he corresponding HARQ ACK/NACK is</w:t>
      </w:r>
      <w:r w:rsidR="00E27A25">
        <w:rPr>
          <w:lang w:val="en-US" w:eastAsia="zh-CN"/>
        </w:rPr>
        <w:t xml:space="preserve"> scheduled in special slot</w:t>
      </w:r>
      <w:r w:rsidR="007E26C6">
        <w:rPr>
          <w:lang w:val="en-US" w:eastAsia="zh-CN"/>
        </w:rPr>
        <w:t>s</w:t>
      </w:r>
      <w:r w:rsidR="00E27A25">
        <w:rPr>
          <w:lang w:val="en-US" w:eastAsia="zh-CN"/>
        </w:rPr>
        <w:t xml:space="preserve"> </w:t>
      </w:r>
      <w:r w:rsidR="00CC6378">
        <w:rPr>
          <w:lang w:val="en-US" w:eastAsia="zh-CN"/>
        </w:rPr>
        <w:t>of TDD 15kHz PCell that is inconsistent with previous agreement.</w:t>
      </w:r>
    </w:p>
    <w:p w14:paraId="69B57FA0" w14:textId="7DDF4274" w:rsidR="00244958" w:rsidRDefault="00151742" w:rsidP="00985894">
      <w:pPr>
        <w:ind w:left="360"/>
        <w:rPr>
          <w:lang w:val="en-US" w:eastAsia="zh-CN"/>
        </w:rPr>
      </w:pPr>
      <w:r>
        <w:rPr>
          <w:noProof/>
          <w:sz w:val="21"/>
          <w:szCs w:val="21"/>
          <w:lang w:val="en-US" w:eastAsia="zh-CN"/>
        </w:rPr>
        <w:lastRenderedPageBreak/>
        <w:drawing>
          <wp:inline distT="0" distB="0" distL="0" distR="0" wp14:anchorId="2A6BC392" wp14:editId="0D512AAF">
            <wp:extent cx="5855335" cy="26657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5335" cy="2665730"/>
                    </a:xfrm>
                    <a:prstGeom prst="rect">
                      <a:avLst/>
                    </a:prstGeom>
                    <a:noFill/>
                  </pic:spPr>
                </pic:pic>
              </a:graphicData>
            </a:graphic>
          </wp:inline>
        </w:drawing>
      </w:r>
    </w:p>
    <w:p w14:paraId="72EE0220" w14:textId="77777777" w:rsidR="00A674AD" w:rsidRPr="00985894" w:rsidRDefault="004140A3" w:rsidP="00985894">
      <w:pPr>
        <w:ind w:left="360"/>
        <w:rPr>
          <w:rFonts w:hint="eastAsia"/>
          <w:lang w:val="en-US" w:eastAsia="zh-CN"/>
        </w:rPr>
      </w:pPr>
      <w:r>
        <w:rPr>
          <w:rFonts w:hint="eastAsia"/>
          <w:lang w:val="en-US" w:eastAsia="zh-CN"/>
        </w:rPr>
        <w:t>A</w:t>
      </w:r>
      <w:r>
        <w:rPr>
          <w:lang w:val="en-US" w:eastAsia="zh-CN"/>
        </w:rPr>
        <w:t>lso based on our evaluations, no obvious performance difference is observed for Option 1 and Option 2 in Note 1 based on the simulation assumptions for TDD 30kHz with 12 HARQ processes.</w:t>
      </w:r>
    </w:p>
    <w:p w14:paraId="2FD48022" w14:textId="77777777" w:rsidR="00985894" w:rsidRDefault="00985894" w:rsidP="00985894">
      <w:pPr>
        <w:ind w:left="360"/>
        <w:rPr>
          <w:b/>
          <w:lang w:val="en-US" w:eastAsia="zh-CN"/>
        </w:rPr>
      </w:pPr>
      <w:r>
        <w:rPr>
          <w:rFonts w:hint="eastAsia"/>
          <w:b/>
          <w:lang w:val="en-US" w:eastAsia="zh-CN"/>
        </w:rPr>
        <w:t>O</w:t>
      </w:r>
      <w:r>
        <w:rPr>
          <w:b/>
          <w:lang w:val="en-US" w:eastAsia="zh-CN"/>
        </w:rPr>
        <w:t>bservation</w:t>
      </w:r>
      <w:r w:rsidR="00031B03">
        <w:rPr>
          <w:b/>
          <w:lang w:val="en-US" w:eastAsia="zh-CN"/>
        </w:rPr>
        <w:t xml:space="preserve"> 1</w:t>
      </w:r>
      <w:r>
        <w:rPr>
          <w:b/>
          <w:lang w:val="en-US" w:eastAsia="zh-CN"/>
        </w:rPr>
        <w:t>: No performance impact by scheduling the initial transmission and retransmission in different types of slots.</w:t>
      </w:r>
    </w:p>
    <w:p w14:paraId="06447198" w14:textId="77777777" w:rsidR="00985894" w:rsidRPr="00B7682D" w:rsidRDefault="00985894" w:rsidP="00B7682D">
      <w:pPr>
        <w:ind w:left="360"/>
        <w:rPr>
          <w:rFonts w:hint="eastAsia"/>
          <w:b/>
          <w:lang w:val="en-US" w:eastAsia="zh-CN"/>
        </w:rPr>
      </w:pPr>
      <w:r>
        <w:rPr>
          <w:b/>
          <w:lang w:val="en-US" w:eastAsia="zh-CN"/>
        </w:rPr>
        <w:t>Proposal 2</w:t>
      </w:r>
      <w:r w:rsidRPr="007A255C">
        <w:rPr>
          <w:b/>
          <w:lang w:val="en-US" w:eastAsia="zh-CN"/>
        </w:rPr>
        <w:t>: No</w:t>
      </w:r>
      <w:r>
        <w:rPr>
          <w:b/>
          <w:lang w:val="en-US" w:eastAsia="zh-CN"/>
        </w:rPr>
        <w:t xml:space="preserve">t </w:t>
      </w:r>
      <w:r w:rsidR="004140A3">
        <w:rPr>
          <w:b/>
          <w:lang w:val="en-US" w:eastAsia="zh-CN"/>
        </w:rPr>
        <w:t>restrict the scheduling</w:t>
      </w:r>
      <w:r w:rsidRPr="007A255C">
        <w:rPr>
          <w:b/>
          <w:lang w:val="en-US" w:eastAsia="zh-CN"/>
        </w:rPr>
        <w:t xml:space="preserve"> on the initial transmission and retransm</w:t>
      </w:r>
      <w:r>
        <w:rPr>
          <w:b/>
          <w:lang w:val="en-US" w:eastAsia="zh-CN"/>
        </w:rPr>
        <w:t>ission on the type of TDD slots.</w:t>
      </w:r>
    </w:p>
    <w:p w14:paraId="0AC69483" w14:textId="77777777" w:rsidR="004F00FE" w:rsidRDefault="004F00FE" w:rsidP="004F00FE">
      <w:pPr>
        <w:pStyle w:val="20"/>
        <w:ind w:left="0"/>
        <w:rPr>
          <w:rFonts w:eastAsia="宋体"/>
          <w:lang w:eastAsia="zh-CN"/>
        </w:rPr>
      </w:pPr>
      <w:r>
        <w:rPr>
          <w:rFonts w:eastAsia="宋体"/>
          <w:lang w:eastAsia="zh-CN"/>
        </w:rPr>
        <w:t>K1 values</w:t>
      </w:r>
    </w:p>
    <w:p w14:paraId="7F3C1338" w14:textId="77777777" w:rsidR="002A027E" w:rsidRPr="00DD2D88" w:rsidRDefault="004F00FE" w:rsidP="004F00FE">
      <w:pPr>
        <w:numPr>
          <w:ilvl w:val="0"/>
          <w:numId w:val="48"/>
        </w:numPr>
        <w:rPr>
          <w:i/>
          <w:lang w:val="en-US" w:eastAsia="zh-CN"/>
        </w:rPr>
      </w:pPr>
      <w:r w:rsidRPr="00DD2D88">
        <w:rPr>
          <w:i/>
          <w:lang w:val="en-US" w:eastAsia="zh-CN"/>
        </w:rPr>
        <w:t>K1 values</w:t>
      </w:r>
    </w:p>
    <w:p w14:paraId="3EBA3CEF" w14:textId="77777777" w:rsidR="002A027E" w:rsidRPr="00DD2D88" w:rsidRDefault="004F00FE" w:rsidP="004F00FE">
      <w:pPr>
        <w:numPr>
          <w:ilvl w:val="1"/>
          <w:numId w:val="48"/>
        </w:numPr>
        <w:rPr>
          <w:i/>
          <w:lang w:val="en-US" w:eastAsia="zh-CN"/>
        </w:rPr>
      </w:pPr>
      <w:r w:rsidRPr="00DD2D88">
        <w:rPr>
          <w:i/>
          <w:lang w:eastAsia="zh-CN"/>
        </w:rPr>
        <w:t>Option 1: K1 values are provided based on Pcell’s SCS in scenarios with mixed SCSs.</w:t>
      </w:r>
    </w:p>
    <w:p w14:paraId="09C084C1" w14:textId="77777777" w:rsidR="002A027E" w:rsidRPr="00DD2D88" w:rsidRDefault="004F00FE" w:rsidP="004F00FE">
      <w:pPr>
        <w:numPr>
          <w:ilvl w:val="1"/>
          <w:numId w:val="48"/>
        </w:numPr>
        <w:rPr>
          <w:i/>
          <w:lang w:val="en-US" w:eastAsia="zh-CN"/>
        </w:rPr>
      </w:pPr>
      <w:r w:rsidRPr="00DD2D88">
        <w:rPr>
          <w:i/>
          <w:lang w:eastAsia="zh-CN"/>
        </w:rPr>
        <w:t>Option 2: K1 values are based on each cell’s own SCS</w:t>
      </w:r>
    </w:p>
    <w:p w14:paraId="39B1911E" w14:textId="77777777" w:rsidR="002A027E" w:rsidRPr="00DD2D88" w:rsidRDefault="004F00FE" w:rsidP="004F00FE">
      <w:pPr>
        <w:numPr>
          <w:ilvl w:val="1"/>
          <w:numId w:val="48"/>
        </w:numPr>
        <w:rPr>
          <w:i/>
          <w:lang w:val="en-US" w:eastAsia="zh-CN"/>
        </w:rPr>
      </w:pPr>
      <w:r w:rsidRPr="00DD2D88">
        <w:rPr>
          <w:i/>
          <w:lang w:eastAsia="zh-CN"/>
        </w:rPr>
        <w:t>Other options are not precluded</w:t>
      </w:r>
    </w:p>
    <w:p w14:paraId="6C18FDCB" w14:textId="77777777" w:rsidR="002A027E" w:rsidRPr="00DD2D88" w:rsidRDefault="004F00FE" w:rsidP="004F00FE">
      <w:pPr>
        <w:numPr>
          <w:ilvl w:val="1"/>
          <w:numId w:val="48"/>
        </w:numPr>
        <w:rPr>
          <w:i/>
          <w:lang w:val="en-US" w:eastAsia="zh-CN"/>
        </w:rPr>
      </w:pPr>
      <w:r w:rsidRPr="00DD2D88">
        <w:rPr>
          <w:i/>
          <w:lang w:eastAsia="zh-CN"/>
        </w:rPr>
        <w:t>Companies are encouraged to check RAN1 procedure for considered scenarios.</w:t>
      </w:r>
    </w:p>
    <w:p w14:paraId="15CD430B" w14:textId="77777777" w:rsidR="00EA260A" w:rsidRDefault="0067361E" w:rsidP="00EA260A">
      <w:pPr>
        <w:rPr>
          <w:lang w:val="en-US" w:eastAsia="zh-CN"/>
        </w:rPr>
      </w:pPr>
      <w:r>
        <w:rPr>
          <w:lang w:val="en-US" w:eastAsia="zh-CN"/>
        </w:rPr>
        <w:t xml:space="preserve">Whether the K1 values are based on PCell’s SCS, i.e. SCS of the PUCCH transmission, </w:t>
      </w:r>
      <w:r w:rsidR="00DD2D88">
        <w:rPr>
          <w:rFonts w:hint="eastAsia"/>
          <w:lang w:val="en-US" w:eastAsia="zh-CN"/>
        </w:rPr>
        <w:t>A</w:t>
      </w:r>
      <w:r w:rsidR="00DD2D88">
        <w:rPr>
          <w:lang w:val="en-US" w:eastAsia="zh-CN"/>
        </w:rPr>
        <w:t>s per TS 38.213 section 9.2.3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67361E" w:rsidRPr="002A027E" w14:paraId="3853CACD" w14:textId="77777777" w:rsidTr="002A027E">
        <w:tc>
          <w:tcPr>
            <w:tcW w:w="10683" w:type="dxa"/>
            <w:shd w:val="clear" w:color="auto" w:fill="auto"/>
          </w:tcPr>
          <w:p w14:paraId="7E91BEDB" w14:textId="7DEB4897" w:rsidR="0067361E" w:rsidRPr="002A027E" w:rsidRDefault="0067361E" w:rsidP="00EA260A">
            <w:pPr>
              <w:rPr>
                <w:rFonts w:ascii="CG Times (WN)" w:hAnsi="CG Times (WN)" w:hint="eastAsia"/>
                <w:lang w:val="en-US" w:eastAsia="zh-CN"/>
              </w:rPr>
            </w:pPr>
            <w:r w:rsidRPr="002A027E">
              <w:rPr>
                <w:rFonts w:ascii="CG Times (WN)" w:hAnsi="CG Times (WN)"/>
              </w:rPr>
              <w:t xml:space="preserve">With reference to slots for PUCCH transmissions, if the UE detects a DCI format scheduling a PDSCH reception ending in slot </w:t>
            </w:r>
            <m:oMath>
              <m:r>
                <w:rPr>
                  <w:rFonts w:ascii="Cambria Math" w:hAnsi="Cambria Math"/>
                </w:rPr>
                <m:t>n</m:t>
              </m:r>
            </m:oMath>
            <w:r w:rsidRPr="002A027E">
              <w:rPr>
                <w:rFonts w:ascii="CG Times (WN)" w:hAnsi="CG Times (WN)"/>
              </w:rPr>
              <w:t xml:space="preserve"> or if the UE detects a DCI format indicating a SPS PDSCH release through a PDCCH reception ending in slot </w:t>
            </w:r>
            <m:oMath>
              <m:r>
                <w:rPr>
                  <w:rFonts w:ascii="Cambria Math" w:hAnsi="Cambria Math"/>
                </w:rPr>
                <m:t>n</m:t>
              </m:r>
            </m:oMath>
            <w:r w:rsidRPr="002A027E">
              <w:rPr>
                <w:rFonts w:ascii="CG Times (WN)" w:hAnsi="CG Times (WN)"/>
              </w:rPr>
              <w:t xml:space="preserve">, or if the UE detects a DCI format that requests Type-3 HARQ-ACK codebook report and does not schedule a PDSCH reception through a PDCCH reception ending in slot </w:t>
            </w:r>
            <m:oMath>
              <m:r>
                <w:rPr>
                  <w:rFonts w:ascii="Cambria Math" w:hAnsi="Cambria Math"/>
                </w:rPr>
                <m:t>n</m:t>
              </m:r>
            </m:oMath>
            <w:r w:rsidRPr="002A027E">
              <w:rPr>
                <w:rFonts w:ascii="CG Times (WN)" w:hAnsi="CG Times (WN)"/>
              </w:rPr>
              <w:t xml:space="preserve">, as described in Clause 9.1.4, the UE provides corresponding HARQ-ACK information in a PUCCH transmission within slot </w:t>
            </w:r>
            <m:oMath>
              <m:r>
                <w:rPr>
                  <w:rFonts w:ascii="Cambria Math" w:hAnsi="Cambria Math"/>
                </w:rPr>
                <m:t>n+k</m:t>
              </m:r>
            </m:oMath>
            <w:r w:rsidRPr="002A027E">
              <w:rPr>
                <w:rFonts w:ascii="CG Times (WN)" w:hAnsi="CG Times (WN)"/>
              </w:rPr>
              <w:t xml:space="preserve">, where </w:t>
            </w:r>
            <m:oMath>
              <m:r>
                <w:rPr>
                  <w:rFonts w:ascii="Cambria Math" w:hAnsi="Cambria Math"/>
                </w:rPr>
                <m:t>k</m:t>
              </m:r>
            </m:oMath>
            <w:r w:rsidRPr="002A027E">
              <w:rPr>
                <w:rFonts w:ascii="CG Times (WN)" w:hAnsi="CG Times (WN)"/>
              </w:rPr>
              <w:t xml:space="preserve"> is a number of slots and is indicated by the PDSCH-to-HARQ_feedback timing indicator field in the DCI format, if present, or provided by </w:t>
            </w:r>
            <w:r w:rsidRPr="002A027E">
              <w:rPr>
                <w:rFonts w:ascii="CG Times (WN)" w:hAnsi="CG Times (WN)"/>
                <w:i/>
              </w:rPr>
              <w:t>dl-DataToUL-ACK</w:t>
            </w:r>
            <w:r w:rsidRPr="002A027E">
              <w:rPr>
                <w:rFonts w:ascii="CG Times (WN)" w:hAnsi="CG Times (WN)"/>
              </w:rPr>
              <w:t xml:space="preserve">, or by </w:t>
            </w:r>
            <w:r w:rsidRPr="002A027E">
              <w:rPr>
                <w:rFonts w:ascii="CG Times (WN)" w:hAnsi="CG Times (WN)"/>
                <w:i/>
              </w:rPr>
              <w:t>dl-DataToUL-ACKForDCIFormat1_2</w:t>
            </w:r>
            <w:r w:rsidRPr="002A027E">
              <w:rPr>
                <w:rFonts w:ascii="CG Times (WN)" w:hAnsi="CG Times (WN)"/>
              </w:rPr>
              <w:t xml:space="preserve"> for DCI format 1_2. </w:t>
            </w:r>
            <m:oMath>
              <m:r>
                <w:rPr>
                  <w:rFonts w:ascii="Cambria Math" w:hAnsi="Cambria Math"/>
                  <w:highlight w:val="yellow"/>
                </w:rPr>
                <m:t>k=0</m:t>
              </m:r>
            </m:oMath>
            <w:r w:rsidRPr="002A027E">
              <w:rPr>
                <w:rFonts w:ascii="CG Times (WN)" w:hAnsi="CG Times (WN)"/>
                <w:highlight w:val="yellow"/>
              </w:rPr>
              <w:t xml:space="preserve"> corresponds to the last slot of the PUCCH transmission that overlaps with the PDSCH reception or with the PDCCH reception in case of SPS PDSCH release or in case of the DCI format that requests Type-3 HARQ-ACK codebook report and does not schedule a PDSCH reception.</w:t>
            </w:r>
          </w:p>
        </w:tc>
      </w:tr>
    </w:tbl>
    <w:p w14:paraId="0197DC0A" w14:textId="77777777" w:rsidR="00DD2D88" w:rsidRPr="004F00FE" w:rsidRDefault="00DD2D88" w:rsidP="00EA260A">
      <w:pPr>
        <w:rPr>
          <w:rFonts w:hint="eastAsia"/>
          <w:lang w:val="en-US" w:eastAsia="zh-CN"/>
        </w:rPr>
      </w:pPr>
    </w:p>
    <w:p w14:paraId="39E11CA3" w14:textId="77777777" w:rsidR="00EA260A" w:rsidRDefault="0067361E" w:rsidP="00EA260A">
      <w:pPr>
        <w:rPr>
          <w:lang w:val="en-US" w:eastAsia="zh-CN"/>
        </w:rPr>
      </w:pPr>
      <w:r>
        <w:rPr>
          <w:rFonts w:hint="eastAsia"/>
          <w:lang w:val="en-US" w:eastAsia="zh-CN"/>
        </w:rPr>
        <w:t>F</w:t>
      </w:r>
      <w:r>
        <w:rPr>
          <w:lang w:val="en-US" w:eastAsia="zh-CN"/>
        </w:rPr>
        <w:t xml:space="preserve">rom the </w:t>
      </w:r>
      <w:r w:rsidR="00E124BC">
        <w:rPr>
          <w:lang w:val="en-US" w:eastAsia="zh-CN"/>
        </w:rPr>
        <w:t>above yellow highlighted part, we can know that k = 0 corresponds to the slot of the PUCCH transmission, and counts from the last slot of PUCCH transmission that overlaps with the PDSCH reception,</w:t>
      </w:r>
      <w:r w:rsidR="00985894">
        <w:rPr>
          <w:lang w:val="en-US" w:eastAsia="zh-CN"/>
        </w:rPr>
        <w:t xml:space="preserve"> based on the understanding about K1 values in RAN1 specification and our analysis in [3~4], Option 1 should be adopted.</w:t>
      </w:r>
    </w:p>
    <w:p w14:paraId="0C146B1E" w14:textId="77777777" w:rsidR="00EA260A" w:rsidRDefault="00985894" w:rsidP="00EA260A">
      <w:pPr>
        <w:rPr>
          <w:b/>
          <w:lang w:val="en-US" w:eastAsia="zh-CN"/>
        </w:rPr>
      </w:pPr>
      <w:r w:rsidRPr="00B7682D">
        <w:rPr>
          <w:rFonts w:hint="eastAsia"/>
          <w:b/>
          <w:lang w:val="en-US" w:eastAsia="zh-CN"/>
        </w:rPr>
        <w:t>P</w:t>
      </w:r>
      <w:r w:rsidRPr="00B7682D">
        <w:rPr>
          <w:b/>
          <w:lang w:val="en-US" w:eastAsia="zh-CN"/>
        </w:rPr>
        <w:t xml:space="preserve">roposal </w:t>
      </w:r>
      <w:r w:rsidR="00B7682D" w:rsidRPr="00B7682D">
        <w:rPr>
          <w:b/>
          <w:lang w:val="en-US" w:eastAsia="zh-CN"/>
        </w:rPr>
        <w:t>3: Adopt Option 1 for the K1 values definition, i.e.</w:t>
      </w:r>
    </w:p>
    <w:p w14:paraId="065E0AEF" w14:textId="7CCC33BF" w:rsidR="00AE478D" w:rsidRPr="00AE478D" w:rsidRDefault="00151742" w:rsidP="00EA260A">
      <w:pPr>
        <w:rPr>
          <w:b/>
          <w:lang w:val="en-US" w:eastAsia="zh-CN"/>
        </w:rPr>
      </w:pPr>
      <w:r>
        <w:rPr>
          <w:b/>
          <w:noProof/>
          <w:lang w:val="en-US" w:eastAsia="zh-CN"/>
        </w:rPr>
        <w:lastRenderedPageBreak/>
        <w:drawing>
          <wp:inline distT="0" distB="0" distL="0" distR="0" wp14:anchorId="27DDBF30" wp14:editId="1C72D7C4">
            <wp:extent cx="5387975" cy="20066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7975" cy="2006600"/>
                    </a:xfrm>
                    <a:prstGeom prst="rect">
                      <a:avLst/>
                    </a:prstGeom>
                    <a:noFill/>
                  </pic:spPr>
                </pic:pic>
              </a:graphicData>
            </a:graphic>
          </wp:inline>
        </w:drawing>
      </w:r>
    </w:p>
    <w:p w14:paraId="60D62CAB" w14:textId="77777777" w:rsidR="001A7AAE" w:rsidRDefault="001A7AAE" w:rsidP="001A7AAE">
      <w:pPr>
        <w:pStyle w:val="20"/>
        <w:ind w:left="0"/>
        <w:rPr>
          <w:rFonts w:eastAsia="宋体"/>
          <w:lang w:eastAsia="zh-CN"/>
        </w:rPr>
      </w:pPr>
      <w:r>
        <w:rPr>
          <w:rFonts w:eastAsia="宋体"/>
          <w:lang w:eastAsia="zh-CN"/>
        </w:rPr>
        <w:t>Test applicability rule</w:t>
      </w:r>
    </w:p>
    <w:p w14:paraId="137C7EA8" w14:textId="77777777" w:rsidR="004E33FC" w:rsidRDefault="004831BA" w:rsidP="000605B5">
      <w:pPr>
        <w:rPr>
          <w:rFonts w:hint="eastAsia"/>
          <w:lang w:val="en-US" w:eastAsia="zh-CN"/>
        </w:rPr>
      </w:pPr>
      <w:r w:rsidRPr="004831BA">
        <w:rPr>
          <w:u w:val="single"/>
          <w:lang w:val="en-US" w:eastAsia="zh-CN"/>
        </w:rPr>
        <w:t>Categorizing of CA capabilities</w:t>
      </w:r>
      <w:r w:rsidR="000605B5" w:rsidRPr="00AC5920">
        <w:rPr>
          <w:u w:val="single"/>
          <w:lang w:val="en-US" w:eastAsia="zh-CN"/>
        </w:rPr>
        <w:t>:</w:t>
      </w:r>
      <w:r w:rsidR="000605B5">
        <w:rPr>
          <w:lang w:val="en-US" w:eastAsia="zh-CN"/>
        </w:rPr>
        <w:t xml:space="preserve"> </w:t>
      </w:r>
      <w:r w:rsidR="004E33FC">
        <w:rPr>
          <w:lang w:val="en-US" w:eastAsia="zh-CN"/>
        </w:rPr>
        <w:t>as per the agreements [1], the following test applicability rules are listed</w:t>
      </w:r>
      <w:r w:rsidR="004E33FC">
        <w:rPr>
          <w:rFonts w:hint="eastAsia"/>
          <w:lang w:val="en-US" w:eastAsia="zh-CN"/>
        </w:rPr>
        <w:t>:</w:t>
      </w:r>
    </w:p>
    <w:p w14:paraId="2A13A10A" w14:textId="77777777" w:rsidR="00C65B56" w:rsidRPr="004E33FC" w:rsidRDefault="004E33FC" w:rsidP="004E33FC">
      <w:pPr>
        <w:numPr>
          <w:ilvl w:val="0"/>
          <w:numId w:val="40"/>
        </w:numPr>
        <w:rPr>
          <w:i/>
          <w:lang w:val="en-US" w:eastAsia="zh-CN"/>
        </w:rPr>
      </w:pPr>
      <w:r w:rsidRPr="004E33FC">
        <w:rPr>
          <w:i/>
          <w:lang w:eastAsia="zh-CN"/>
        </w:rPr>
        <w:t>Categorizing of CA capabilities</w:t>
      </w:r>
    </w:p>
    <w:p w14:paraId="4E15C457" w14:textId="77777777" w:rsidR="00C65B56" w:rsidRPr="004E33FC" w:rsidRDefault="004E33FC" w:rsidP="004E33FC">
      <w:pPr>
        <w:numPr>
          <w:ilvl w:val="1"/>
          <w:numId w:val="40"/>
        </w:numPr>
        <w:rPr>
          <w:i/>
          <w:lang w:val="en-US" w:eastAsia="zh-CN"/>
        </w:rPr>
      </w:pPr>
      <w:r w:rsidRPr="004E33FC">
        <w:rPr>
          <w:i/>
          <w:lang w:eastAsia="zh-CN"/>
        </w:rPr>
        <w:t xml:space="preserve">Option 1: Define different capabilities for intra-band contiguous CA, intra-band non-contiguous CA and inter-band CA with different numbers of bands. </w:t>
      </w:r>
    </w:p>
    <w:p w14:paraId="341A10ED" w14:textId="77777777" w:rsidR="00C65B56" w:rsidRPr="004E33FC" w:rsidRDefault="004E33FC" w:rsidP="004E33FC">
      <w:pPr>
        <w:numPr>
          <w:ilvl w:val="1"/>
          <w:numId w:val="40"/>
        </w:numPr>
        <w:rPr>
          <w:i/>
          <w:lang w:val="en-US" w:eastAsia="zh-CN"/>
        </w:rPr>
      </w:pPr>
      <w:r w:rsidRPr="004E33FC">
        <w:rPr>
          <w:i/>
          <w:lang w:eastAsia="zh-CN"/>
        </w:rPr>
        <w:t>Option 2: Define different capabilities for intra-band contiguous CA, intra-band non-contiguous CA and inter-band CA.</w:t>
      </w:r>
    </w:p>
    <w:p w14:paraId="67082D56" w14:textId="77777777" w:rsidR="00C65B56" w:rsidRPr="004E33FC" w:rsidRDefault="004E33FC" w:rsidP="004E33FC">
      <w:pPr>
        <w:numPr>
          <w:ilvl w:val="1"/>
          <w:numId w:val="40"/>
        </w:numPr>
        <w:rPr>
          <w:i/>
          <w:lang w:val="en-US" w:eastAsia="zh-CN"/>
        </w:rPr>
      </w:pPr>
      <w:r w:rsidRPr="004E33FC">
        <w:rPr>
          <w:i/>
          <w:lang w:val="en-US" w:eastAsia="zh-CN"/>
        </w:rPr>
        <w:t xml:space="preserve">Companies to bring proposals on the demod spec structure for CA, with the motivation to minimize future maintenance. </w:t>
      </w:r>
    </w:p>
    <w:p w14:paraId="3FC022E5" w14:textId="77777777" w:rsidR="0075508C" w:rsidRDefault="00E17E29" w:rsidP="000605B5">
      <w:pPr>
        <w:rPr>
          <w:lang w:val="en-US" w:eastAsia="zh-CN"/>
        </w:rPr>
      </w:pPr>
      <w:r>
        <w:rPr>
          <w:rFonts w:hint="eastAsia"/>
          <w:lang w:val="en-US" w:eastAsia="zh-CN"/>
        </w:rPr>
        <w:t>A</w:t>
      </w:r>
      <w:r>
        <w:rPr>
          <w:lang w:val="en-US" w:eastAsia="zh-CN"/>
        </w:rPr>
        <w:t>s per the previous discussion, company has common understanding that NR should minimize future specification maintenance, what</w:t>
      </w:r>
      <w:r w:rsidR="00865ACD">
        <w:rPr>
          <w:lang w:val="en-US" w:eastAsia="zh-CN"/>
        </w:rPr>
        <w:t xml:space="preserve">ever Option 1 and Option 2, </w:t>
      </w:r>
      <w:r>
        <w:rPr>
          <w:lang w:val="en-US" w:eastAsia="zh-CN"/>
        </w:rPr>
        <w:t>reference to corresponding tables for intra-band contiguous CA, intra-band non-contiguous CA and inter-band defined in TS 38.101-1/2/3 should be used, there is no essential difference for Option 1 and Option 2 if we do not combine Categorizing of CA capabilities discussion with the test of different capabilities. The</w:t>
      </w:r>
      <w:r w:rsidR="0075508C">
        <w:rPr>
          <w:lang w:val="en-US" w:eastAsia="zh-CN"/>
        </w:rPr>
        <w:t xml:space="preserve"> main difference between Option 1 and Option 2 is to list the inter-band CA with different number of bands, with inter-band CA with more and more number of bands, new inter-band CA reference to specific table need to added, and</w:t>
      </w:r>
      <w:r w:rsidR="002A261A">
        <w:rPr>
          <w:lang w:val="en-US" w:eastAsia="zh-CN"/>
        </w:rPr>
        <w:t xml:space="preserve"> considering the different reference tables 5.5A.3-X for inter-band CA in FR1 and tables 5.5A.1-x for inter-band CA between FR1 and FR2, distinguishing between them is needed, one possible definitions for Option 1 as shown below in Table X1-1 ~ Table X1-3:</w:t>
      </w:r>
    </w:p>
    <w:p w14:paraId="49077F30" w14:textId="77777777" w:rsidR="005606F3" w:rsidRPr="005606F3" w:rsidRDefault="005606F3" w:rsidP="005606F3">
      <w:pPr>
        <w:pStyle w:val="TH"/>
      </w:pPr>
      <w:r w:rsidRPr="005606F3">
        <w:t xml:space="preserve">Table </w:t>
      </w:r>
      <w:r w:rsidR="00DB2059">
        <w:t>X1</w:t>
      </w:r>
      <w:r>
        <w:t>-1</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sidR="00DB2059" w:rsidRPr="00070DC3">
        <w:rPr>
          <w:highlight w:val="yellow"/>
          <w:lang w:eastAsia="zh-CN"/>
        </w:rPr>
        <w:t>for FR1</w:t>
      </w:r>
      <w:r w:rsidR="00DB2059">
        <w:rPr>
          <w:lang w:eastAsia="zh-CN"/>
        </w:rPr>
        <w:t xml:space="preserve"> </w:t>
      </w:r>
      <w:r>
        <w:rPr>
          <w:lang w:eastAsia="zh-C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5606F3" w:rsidRPr="005606F3" w14:paraId="2798A4F1"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3FA71FAA" w14:textId="77777777" w:rsidR="005606F3" w:rsidRPr="005606F3" w:rsidRDefault="005606F3" w:rsidP="00C65B56">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976A4B0" w14:textId="77777777" w:rsidR="005606F3" w:rsidRPr="005606F3" w:rsidRDefault="005606F3" w:rsidP="00C65B56">
            <w:pPr>
              <w:pStyle w:val="TAH"/>
              <w:rPr>
                <w:rFonts w:cs="Arial"/>
              </w:rPr>
            </w:pPr>
            <w:r w:rsidRPr="005606F3">
              <w:rPr>
                <w:rFonts w:cs="Arial"/>
              </w:rPr>
              <w:t>CA Capability Description</w:t>
            </w:r>
          </w:p>
        </w:tc>
      </w:tr>
      <w:tr w:rsidR="005606F3" w:rsidRPr="005606F3" w14:paraId="667AF9FA"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25FC8373" w14:textId="77777777" w:rsidR="005606F3" w:rsidRPr="005606F3" w:rsidRDefault="005606F3" w:rsidP="00C65B56">
            <w:pPr>
              <w:pStyle w:val="TAC"/>
              <w:rPr>
                <w:rFonts w:cs="Arial"/>
              </w:rPr>
            </w:pPr>
            <w:r w:rsidRPr="005606F3">
              <w:rPr>
                <w:rFonts w:cs="Arial"/>
              </w:rPr>
              <w:t>C</w:t>
            </w:r>
            <w:r w:rsidRPr="005606F3">
              <w:rPr>
                <w:rFonts w:cs="Arial" w:hint="eastAsia"/>
                <w:lang w:eastAsia="zh-CN"/>
              </w:rPr>
              <w:t>A</w:t>
            </w:r>
            <w:r w:rsidRPr="005606F3">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634B9AB5" w14:textId="77777777" w:rsidR="005606F3" w:rsidRPr="005606F3" w:rsidRDefault="005606F3" w:rsidP="00C65B56">
            <w:pPr>
              <w:pStyle w:val="TAC"/>
              <w:rPr>
                <w:rFonts w:cs="Arial"/>
              </w:rPr>
            </w:pPr>
            <w:r w:rsidRPr="005606F3">
              <w:rPr>
                <w:rFonts w:cs="Arial"/>
              </w:rPr>
              <w:t>Intra-band contiguous CA</w:t>
            </w:r>
          </w:p>
        </w:tc>
      </w:tr>
      <w:tr w:rsidR="005606F3" w:rsidRPr="005606F3" w14:paraId="2626BC80"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16D4DF10" w14:textId="77777777" w:rsidR="005606F3" w:rsidRPr="005606F3" w:rsidRDefault="005606F3" w:rsidP="005606F3">
            <w:pPr>
              <w:pStyle w:val="TAC"/>
              <w:rPr>
                <w:rFonts w:cs="Arial"/>
              </w:rPr>
            </w:pPr>
            <w:r w:rsidRPr="005606F3">
              <w:rPr>
                <w:rFonts w:cs="Arial"/>
              </w:rPr>
              <w:t>C</w:t>
            </w:r>
            <w:r w:rsidRPr="005606F3">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7F7E2A39" w14:textId="77777777" w:rsidR="005606F3" w:rsidRPr="005606F3" w:rsidRDefault="005606F3" w:rsidP="005606F3">
            <w:pPr>
              <w:pStyle w:val="TAC"/>
              <w:rPr>
                <w:rFonts w:cs="Arial" w:hint="eastAsia"/>
                <w:lang w:eastAsia="zh-CN"/>
              </w:rPr>
            </w:pPr>
            <w:r w:rsidRPr="005606F3">
              <w:rPr>
                <w:rFonts w:cs="Arial"/>
              </w:rPr>
              <w:t>Intra-band non-contiguous CA</w:t>
            </w:r>
          </w:p>
        </w:tc>
      </w:tr>
      <w:tr w:rsidR="005606F3" w:rsidRPr="005606F3" w14:paraId="62C7A7BE"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tcPr>
          <w:p w14:paraId="371A54A4" w14:textId="77777777" w:rsidR="005606F3" w:rsidRPr="005606F3" w:rsidRDefault="005606F3" w:rsidP="00C65B56">
            <w:pPr>
              <w:pStyle w:val="TAC"/>
              <w:rPr>
                <w:rFonts w:cs="Arial"/>
              </w:rPr>
            </w:pPr>
            <w:r w:rsidRPr="005606F3">
              <w:rPr>
                <w:rFonts w:cs="Arial"/>
              </w:rPr>
              <w:t>C</w:t>
            </w:r>
            <w:r w:rsidRPr="005606F3">
              <w:rPr>
                <w:rFonts w:cs="Arial" w:hint="eastAsia"/>
                <w:lang w:eastAsia="zh-CN"/>
              </w:rPr>
              <w:t>A</w:t>
            </w:r>
            <w:r>
              <w:rPr>
                <w:rFonts w:cs="Arial"/>
              </w:rPr>
              <w:t>_A2</w:t>
            </w:r>
          </w:p>
        </w:tc>
        <w:tc>
          <w:tcPr>
            <w:tcW w:w="5768" w:type="dxa"/>
            <w:tcBorders>
              <w:top w:val="single" w:sz="4" w:space="0" w:color="auto"/>
              <w:left w:val="single" w:sz="4" w:space="0" w:color="auto"/>
              <w:bottom w:val="single" w:sz="4" w:space="0" w:color="auto"/>
              <w:right w:val="single" w:sz="4" w:space="0" w:color="auto"/>
            </w:tcBorders>
          </w:tcPr>
          <w:p w14:paraId="082DDEC4" w14:textId="77777777" w:rsidR="005606F3" w:rsidRPr="005606F3" w:rsidRDefault="005606F3" w:rsidP="00DC67DD">
            <w:pPr>
              <w:pStyle w:val="TAC"/>
              <w:rPr>
                <w:rFonts w:cs="Arial"/>
              </w:rPr>
            </w:pPr>
            <w:r>
              <w:rPr>
                <w:rFonts w:cs="Arial"/>
              </w:rPr>
              <w:t>Inter-band CA</w:t>
            </w:r>
            <w:r w:rsidR="00CF1D31">
              <w:rPr>
                <w:rFonts w:cs="Arial"/>
              </w:rPr>
              <w:t xml:space="preserve"> </w:t>
            </w:r>
            <w:r>
              <w:rPr>
                <w:rFonts w:cs="Arial"/>
              </w:rPr>
              <w:t>(two</w:t>
            </w:r>
            <w:r w:rsidRPr="005606F3">
              <w:rPr>
                <w:rFonts w:cs="Arial"/>
              </w:rPr>
              <w:t xml:space="preserve"> bands)</w:t>
            </w:r>
          </w:p>
        </w:tc>
      </w:tr>
      <w:tr w:rsidR="005606F3" w:rsidRPr="005606F3" w14:paraId="4266F92C"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tcPr>
          <w:p w14:paraId="207B1A1D" w14:textId="77777777" w:rsidR="005606F3" w:rsidRPr="005606F3" w:rsidRDefault="005606F3" w:rsidP="005606F3">
            <w:pPr>
              <w:pStyle w:val="TAC"/>
              <w:rPr>
                <w:rFonts w:cs="Arial"/>
              </w:rPr>
            </w:pPr>
            <w:r w:rsidRPr="005606F3">
              <w:rPr>
                <w:rFonts w:cs="Arial"/>
              </w:rPr>
              <w:t>C</w:t>
            </w:r>
            <w:r w:rsidRPr="005606F3">
              <w:rPr>
                <w:rFonts w:cs="Arial" w:hint="eastAsia"/>
                <w:lang w:eastAsia="zh-CN"/>
              </w:rPr>
              <w:t>A</w:t>
            </w:r>
            <w:r>
              <w:rPr>
                <w:rFonts w:cs="Arial"/>
              </w:rPr>
              <w:t>_A3</w:t>
            </w:r>
          </w:p>
        </w:tc>
        <w:tc>
          <w:tcPr>
            <w:tcW w:w="5768" w:type="dxa"/>
            <w:tcBorders>
              <w:top w:val="single" w:sz="4" w:space="0" w:color="auto"/>
              <w:left w:val="single" w:sz="4" w:space="0" w:color="auto"/>
              <w:bottom w:val="single" w:sz="4" w:space="0" w:color="auto"/>
              <w:right w:val="single" w:sz="4" w:space="0" w:color="auto"/>
            </w:tcBorders>
          </w:tcPr>
          <w:p w14:paraId="2DA58834" w14:textId="77777777" w:rsidR="005606F3" w:rsidRPr="005606F3" w:rsidRDefault="005606F3" w:rsidP="005606F3">
            <w:pPr>
              <w:pStyle w:val="TAC"/>
              <w:rPr>
                <w:rFonts w:cs="Arial"/>
              </w:rPr>
            </w:pPr>
            <w:r>
              <w:rPr>
                <w:rFonts w:cs="Arial"/>
              </w:rPr>
              <w:t>Inter-band CA (three</w:t>
            </w:r>
            <w:r w:rsidRPr="005606F3">
              <w:rPr>
                <w:rFonts w:cs="Arial"/>
              </w:rPr>
              <w:t xml:space="preserve"> bands)</w:t>
            </w:r>
          </w:p>
        </w:tc>
      </w:tr>
      <w:tr w:rsidR="00CF1D31" w:rsidRPr="005606F3" w14:paraId="0975CE56"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tcPr>
          <w:p w14:paraId="0371F55D" w14:textId="77777777" w:rsidR="00CF1D31" w:rsidRPr="005606F3" w:rsidRDefault="00CF1D31" w:rsidP="00CF1D31">
            <w:pPr>
              <w:pStyle w:val="TAC"/>
              <w:rPr>
                <w:rFonts w:cs="Arial"/>
              </w:rPr>
            </w:pPr>
            <w:r w:rsidRPr="005606F3">
              <w:rPr>
                <w:rFonts w:cs="Arial"/>
              </w:rPr>
              <w:t>C</w:t>
            </w:r>
            <w:r w:rsidRPr="005606F3">
              <w:rPr>
                <w:rFonts w:cs="Arial" w:hint="eastAsia"/>
                <w:lang w:eastAsia="zh-CN"/>
              </w:rPr>
              <w:t>A</w:t>
            </w:r>
            <w:r>
              <w:rPr>
                <w:rFonts w:cs="Arial"/>
              </w:rPr>
              <w:t>_A4</w:t>
            </w:r>
          </w:p>
        </w:tc>
        <w:tc>
          <w:tcPr>
            <w:tcW w:w="5768" w:type="dxa"/>
            <w:tcBorders>
              <w:top w:val="single" w:sz="4" w:space="0" w:color="auto"/>
              <w:left w:val="single" w:sz="4" w:space="0" w:color="auto"/>
              <w:bottom w:val="single" w:sz="4" w:space="0" w:color="auto"/>
              <w:right w:val="single" w:sz="4" w:space="0" w:color="auto"/>
            </w:tcBorders>
          </w:tcPr>
          <w:p w14:paraId="45DEA53C" w14:textId="77777777" w:rsidR="00CF1D31" w:rsidRPr="005606F3" w:rsidRDefault="00CF1D31" w:rsidP="00CF1D31">
            <w:pPr>
              <w:pStyle w:val="TAC"/>
              <w:rPr>
                <w:rFonts w:cs="Arial"/>
              </w:rPr>
            </w:pPr>
            <w:r>
              <w:rPr>
                <w:rFonts w:cs="Arial"/>
              </w:rPr>
              <w:t>Inter-band CA (four</w:t>
            </w:r>
            <w:r w:rsidRPr="005606F3">
              <w:rPr>
                <w:rFonts w:cs="Arial"/>
              </w:rPr>
              <w:t xml:space="preserve"> bands)</w:t>
            </w:r>
          </w:p>
        </w:tc>
      </w:tr>
      <w:tr w:rsidR="005606F3" w:rsidRPr="005606F3" w14:paraId="2EAB45EF" w14:textId="77777777" w:rsidTr="00C65B56">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7795D10" w14:textId="77777777" w:rsidR="000778CB" w:rsidRDefault="005606F3" w:rsidP="000778CB">
            <w:pPr>
              <w:pStyle w:val="TAN"/>
            </w:pPr>
            <w:r w:rsidRPr="000778CB">
              <w:t>NOTE 1:</w:t>
            </w:r>
            <w:r w:rsidRPr="000778CB">
              <w:tab/>
              <w:t>C</w:t>
            </w:r>
            <w:r w:rsidRPr="000778CB">
              <w:rPr>
                <w:rFonts w:hint="eastAsia"/>
              </w:rPr>
              <w:t>A</w:t>
            </w:r>
            <w:r w:rsidRPr="000778CB">
              <w:t xml:space="preserve">_C corresponds to </w:t>
            </w:r>
            <w:r w:rsidR="000778CB" w:rsidRPr="000778CB">
              <w:t>NR</w:t>
            </w:r>
            <w:r w:rsidRPr="000778CB">
              <w:t xml:space="preserve"> CA configurations and bandwidth combination sets defined in </w:t>
            </w:r>
            <w:r w:rsidR="000778CB">
              <w:t>Table 5.5</w:t>
            </w:r>
            <w:r w:rsidR="000778CB" w:rsidRPr="000778CB">
              <w:t xml:space="preserve">A.1-1 </w:t>
            </w:r>
            <w:r w:rsidR="004C08C2">
              <w:t xml:space="preserve">for intra-band contiguous CA in </w:t>
            </w:r>
            <w:r w:rsidR="000778CB" w:rsidRPr="000778CB">
              <w:t>FR1</w:t>
            </w:r>
            <w:r w:rsidR="004C08C2">
              <w:t xml:space="preserve"> [6]</w:t>
            </w:r>
            <w:r w:rsidRPr="000778CB">
              <w:t xml:space="preserve">. </w:t>
            </w:r>
          </w:p>
          <w:p w14:paraId="55F3DB8B" w14:textId="77777777" w:rsidR="005B7BFF" w:rsidRDefault="005B7BFF" w:rsidP="000778CB">
            <w:pPr>
              <w:pStyle w:val="TAN"/>
            </w:pPr>
            <w:r>
              <w:t xml:space="preserve">                 </w:t>
            </w:r>
            <w:r w:rsidRPr="000778CB">
              <w:t>C</w:t>
            </w:r>
            <w:r w:rsidRPr="000778CB">
              <w:rPr>
                <w:rFonts w:hint="eastAsia"/>
              </w:rPr>
              <w:t>A</w:t>
            </w:r>
            <w:r w:rsidR="00DB2059">
              <w:t>_NC</w:t>
            </w:r>
            <w:r>
              <w:t xml:space="preserve"> corresponds to NR</w:t>
            </w:r>
            <w:r w:rsidRPr="000778CB">
              <w:t xml:space="preserve"> CA configurations and bandwidth combi</w:t>
            </w:r>
            <w:r>
              <w:t>nation sets defined in Table 5.5A.2-1</w:t>
            </w:r>
            <w:r w:rsidRPr="000778CB">
              <w:t xml:space="preserve"> for </w:t>
            </w:r>
            <w:r>
              <w:t>intra-band non-contiguous CA in FR1 [6].</w:t>
            </w:r>
          </w:p>
          <w:p w14:paraId="073A4E33" w14:textId="77777777" w:rsidR="005B7BFF" w:rsidRDefault="005B7BFF" w:rsidP="000778CB">
            <w:pPr>
              <w:pStyle w:val="TAN"/>
            </w:pPr>
            <w:r>
              <w:rPr>
                <w:rFonts w:hint="eastAsia"/>
                <w:lang w:eastAsia="zh-CN"/>
              </w:rPr>
              <w:t xml:space="preserve"> </w:t>
            </w:r>
            <w:r>
              <w:rPr>
                <w:lang w:eastAsia="zh-CN"/>
              </w:rPr>
              <w:t xml:space="preserve">                </w:t>
            </w:r>
            <w:r w:rsidRPr="000778CB">
              <w:t>C</w:t>
            </w:r>
            <w:r w:rsidRPr="000778CB">
              <w:rPr>
                <w:rFonts w:hint="eastAsia"/>
              </w:rPr>
              <w:t>A</w:t>
            </w:r>
            <w:r w:rsidRPr="000778CB">
              <w:t xml:space="preserve">_A2 corresponds to NR CA configurations and bandwidth combination sets defined in </w:t>
            </w:r>
            <w:r w:rsidRPr="00070DC3">
              <w:rPr>
                <w:highlight w:val="yellow"/>
              </w:rPr>
              <w:t>Table 5.5A.3-1</w:t>
            </w:r>
            <w:r w:rsidRPr="000778CB">
              <w:t xml:space="preserve"> for </w:t>
            </w:r>
            <w:r w:rsidR="00070DC3">
              <w:t>inter-band CA with</w:t>
            </w:r>
            <w:r w:rsidRPr="000778CB">
              <w:t xml:space="preserve"> two bands</w:t>
            </w:r>
            <w:r>
              <w:t xml:space="preserve"> [6]</w:t>
            </w:r>
            <w:r w:rsidRPr="000778CB">
              <w:t>.</w:t>
            </w:r>
          </w:p>
          <w:p w14:paraId="62D6A0D0" w14:textId="77777777" w:rsidR="005B7BFF" w:rsidRDefault="005B7BFF" w:rsidP="000778CB">
            <w:pPr>
              <w:pStyle w:val="TAN"/>
            </w:pPr>
            <w:r>
              <w:rPr>
                <w:rFonts w:hint="eastAsia"/>
                <w:lang w:eastAsia="zh-CN"/>
              </w:rPr>
              <w:t xml:space="preserve"> </w:t>
            </w:r>
            <w:r>
              <w:rPr>
                <w:lang w:eastAsia="zh-CN"/>
              </w:rPr>
              <w:t xml:space="preserve">                </w:t>
            </w:r>
            <w:r w:rsidRPr="000778CB">
              <w:t>C</w:t>
            </w:r>
            <w:r w:rsidRPr="000778CB">
              <w:rPr>
                <w:rFonts w:hint="eastAsia"/>
              </w:rPr>
              <w:t>A</w:t>
            </w:r>
            <w:r w:rsidRPr="000778CB">
              <w:t xml:space="preserve">_A3 corresponds to </w:t>
            </w:r>
            <w:r>
              <w:t>NR</w:t>
            </w:r>
            <w:r w:rsidRPr="000778CB">
              <w:t xml:space="preserve"> CA configurations and bandwidth combination sets defined in </w:t>
            </w:r>
            <w:r>
              <w:t>Table 5.5A.3</w:t>
            </w:r>
            <w:r w:rsidRPr="000778CB">
              <w:t xml:space="preserve">-2 for </w:t>
            </w:r>
            <w:r w:rsidR="00070DC3">
              <w:t>inter-band CA with</w:t>
            </w:r>
            <w:r w:rsidRPr="000778CB">
              <w:t xml:space="preserve"> three bands</w:t>
            </w:r>
            <w:r>
              <w:t xml:space="preserve"> [6]</w:t>
            </w:r>
            <w:r w:rsidRPr="000778CB">
              <w:t>.</w:t>
            </w:r>
          </w:p>
          <w:p w14:paraId="5EE444CB" w14:textId="77777777" w:rsidR="005606F3" w:rsidRDefault="005B7BFF" w:rsidP="00070DC3">
            <w:pPr>
              <w:pStyle w:val="TAN"/>
            </w:pPr>
            <w:r>
              <w:t xml:space="preserve">                 </w:t>
            </w:r>
            <w:r w:rsidRPr="000778CB">
              <w:t>C</w:t>
            </w:r>
            <w:r w:rsidRPr="000778CB">
              <w:rPr>
                <w:rFonts w:hint="eastAsia"/>
              </w:rPr>
              <w:t>A</w:t>
            </w:r>
            <w:r w:rsidRPr="000778CB">
              <w:t xml:space="preserve">_A4 corresponds to NR CA configurations and bandwidth combination sets defined in </w:t>
            </w:r>
            <w:r w:rsidRPr="00070DC3">
              <w:t>Table 5.5A.3-3</w:t>
            </w:r>
            <w:r w:rsidRPr="000778CB">
              <w:t xml:space="preserve"> for </w:t>
            </w:r>
            <w:r w:rsidR="00070DC3">
              <w:t>inter-band CA with</w:t>
            </w:r>
            <w:r w:rsidRPr="000778CB">
              <w:t xml:space="preserve"> four bands</w:t>
            </w:r>
            <w:r>
              <w:t xml:space="preserve"> [6].</w:t>
            </w:r>
          </w:p>
          <w:p w14:paraId="76301BE6" w14:textId="77777777" w:rsidR="00070DC3" w:rsidRPr="00070DC3" w:rsidRDefault="00070DC3" w:rsidP="00070DC3">
            <w:pPr>
              <w:pStyle w:val="TAN"/>
              <w:rPr>
                <w:lang w:eastAsia="zh-CN"/>
              </w:rPr>
            </w:pPr>
            <w:r>
              <w:t xml:space="preserve">                 </w:t>
            </w:r>
            <w:r w:rsidRPr="000778CB">
              <w:t>C</w:t>
            </w:r>
            <w:r w:rsidRPr="000778CB">
              <w:rPr>
                <w:rFonts w:hint="eastAsia"/>
              </w:rPr>
              <w:t>A</w:t>
            </w:r>
            <w:r w:rsidRPr="000778CB">
              <w:t>_A</w:t>
            </w:r>
            <w:r>
              <w:t>X</w:t>
            </w:r>
            <w:r w:rsidRPr="000778CB">
              <w:t xml:space="preserve"> corresponds to NR CA configurations and bandwidth combination sets defined in </w:t>
            </w:r>
            <w:r w:rsidRPr="00070DC3">
              <w:t>Table 5.5A.3-Y</w:t>
            </w:r>
            <w:r w:rsidRPr="000778CB">
              <w:t xml:space="preserve"> for </w:t>
            </w:r>
            <w:r>
              <w:t>inter-band CA with</w:t>
            </w:r>
            <w:r w:rsidRPr="000778CB">
              <w:t xml:space="preserve"> </w:t>
            </w:r>
            <w:r>
              <w:t>X</w:t>
            </w:r>
            <w:r w:rsidRPr="000778CB">
              <w:t xml:space="preserve"> bands</w:t>
            </w:r>
            <w:r>
              <w:t xml:space="preserve"> [6].</w:t>
            </w:r>
          </w:p>
        </w:tc>
      </w:tr>
    </w:tbl>
    <w:p w14:paraId="7BA6B391" w14:textId="77777777" w:rsidR="005606F3" w:rsidRDefault="005606F3" w:rsidP="005606F3"/>
    <w:p w14:paraId="4543C866" w14:textId="77777777" w:rsidR="00DB2059" w:rsidRPr="005606F3" w:rsidRDefault="00DB2059" w:rsidP="00DB2059">
      <w:pPr>
        <w:pStyle w:val="TH"/>
      </w:pPr>
      <w:r w:rsidRPr="005606F3">
        <w:lastRenderedPageBreak/>
        <w:t xml:space="preserve">Table </w:t>
      </w:r>
      <w:r>
        <w:t>X1-2</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sidRPr="00070DC3">
        <w:rPr>
          <w:highlight w:val="yellow"/>
          <w:lang w:eastAsia="zh-CN"/>
        </w:rPr>
        <w:t>for FR2</w:t>
      </w:r>
      <w:r>
        <w:rPr>
          <w:lang w:eastAsia="zh-CN"/>
        </w:rPr>
        <w:t xml:space="preserve">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B2059" w:rsidRPr="005606F3" w14:paraId="73E6E26A"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546BBB4F" w14:textId="77777777" w:rsidR="00DB2059" w:rsidRPr="005606F3" w:rsidRDefault="00DB2059" w:rsidP="002A027E">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43FD9FC3" w14:textId="77777777" w:rsidR="00DB2059" w:rsidRPr="005606F3" w:rsidRDefault="00DB2059" w:rsidP="002A027E">
            <w:pPr>
              <w:pStyle w:val="TAH"/>
              <w:rPr>
                <w:rFonts w:cs="Arial"/>
              </w:rPr>
            </w:pPr>
            <w:r w:rsidRPr="005606F3">
              <w:rPr>
                <w:rFonts w:cs="Arial"/>
              </w:rPr>
              <w:t>CA Capability Description</w:t>
            </w:r>
          </w:p>
        </w:tc>
      </w:tr>
      <w:tr w:rsidR="00DB2059" w:rsidRPr="005606F3" w14:paraId="67B69A8B"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7B88EFE5" w14:textId="77777777" w:rsidR="00DB2059" w:rsidRPr="005606F3" w:rsidRDefault="00DB2059" w:rsidP="002A027E">
            <w:pPr>
              <w:pStyle w:val="TAC"/>
              <w:rPr>
                <w:rFonts w:cs="Arial"/>
              </w:rPr>
            </w:pPr>
            <w:r w:rsidRPr="005606F3">
              <w:rPr>
                <w:rFonts w:cs="Arial"/>
              </w:rPr>
              <w:t>C</w:t>
            </w:r>
            <w:r w:rsidRPr="005606F3">
              <w:rPr>
                <w:rFonts w:cs="Arial" w:hint="eastAsia"/>
                <w:lang w:eastAsia="zh-CN"/>
              </w:rPr>
              <w:t>A</w:t>
            </w:r>
            <w:r w:rsidRPr="005606F3">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4F6819E7" w14:textId="77777777" w:rsidR="00DB2059" w:rsidRPr="005606F3" w:rsidRDefault="00DB2059" w:rsidP="002A027E">
            <w:pPr>
              <w:pStyle w:val="TAC"/>
              <w:rPr>
                <w:rFonts w:cs="Arial"/>
              </w:rPr>
            </w:pPr>
            <w:r w:rsidRPr="005606F3">
              <w:rPr>
                <w:rFonts w:cs="Arial"/>
              </w:rPr>
              <w:t>Intra-band contiguous CA</w:t>
            </w:r>
          </w:p>
        </w:tc>
      </w:tr>
      <w:tr w:rsidR="00DB2059" w:rsidRPr="005606F3" w14:paraId="757530B2"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6353A85A" w14:textId="77777777" w:rsidR="00DB2059" w:rsidRPr="005606F3" w:rsidRDefault="00DB2059" w:rsidP="002A027E">
            <w:pPr>
              <w:pStyle w:val="TAC"/>
              <w:rPr>
                <w:rFonts w:cs="Arial"/>
              </w:rPr>
            </w:pPr>
            <w:r w:rsidRPr="005606F3">
              <w:rPr>
                <w:rFonts w:cs="Arial"/>
              </w:rPr>
              <w:t>C</w:t>
            </w:r>
            <w:r w:rsidRPr="005606F3">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1B6E6714" w14:textId="77777777" w:rsidR="00DB2059" w:rsidRPr="005606F3" w:rsidRDefault="00DB2059" w:rsidP="002A027E">
            <w:pPr>
              <w:pStyle w:val="TAC"/>
              <w:rPr>
                <w:rFonts w:cs="Arial" w:hint="eastAsia"/>
                <w:lang w:eastAsia="zh-CN"/>
              </w:rPr>
            </w:pPr>
            <w:r w:rsidRPr="005606F3">
              <w:rPr>
                <w:rFonts w:cs="Arial"/>
              </w:rPr>
              <w:t>Intra-band non-contiguous CA</w:t>
            </w:r>
          </w:p>
        </w:tc>
      </w:tr>
      <w:tr w:rsidR="00DB2059" w:rsidRPr="005606F3" w14:paraId="4EBB637B" w14:textId="77777777" w:rsidTr="002A027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BDA12FA" w14:textId="77777777" w:rsidR="00DB2059" w:rsidRDefault="00DB2059" w:rsidP="002A027E">
            <w:pPr>
              <w:pStyle w:val="TAN"/>
            </w:pPr>
            <w:r w:rsidRPr="000778CB">
              <w:t>NOTE 1:</w:t>
            </w:r>
            <w:r w:rsidRPr="000778CB">
              <w:tab/>
              <w:t>C</w:t>
            </w:r>
            <w:r w:rsidRPr="000778CB">
              <w:rPr>
                <w:rFonts w:hint="eastAsia"/>
              </w:rPr>
              <w:t>A</w:t>
            </w:r>
            <w:r w:rsidRPr="000778CB">
              <w:t xml:space="preserve">4_C corresponds to NR CA configurations and bandwidth combination sets defined in </w:t>
            </w:r>
            <w:r>
              <w:t>Table 5.5</w:t>
            </w:r>
            <w:r w:rsidRPr="000778CB">
              <w:t xml:space="preserve">A.1-1 </w:t>
            </w:r>
            <w:r>
              <w:t xml:space="preserve">for intra-band contiguous CA in </w:t>
            </w:r>
            <w:r w:rsidRPr="000778CB">
              <w:t>FR</w:t>
            </w:r>
            <w:r>
              <w:t>2 [7]</w:t>
            </w:r>
            <w:r w:rsidRPr="000778CB">
              <w:t xml:space="preserve">. </w:t>
            </w:r>
          </w:p>
          <w:p w14:paraId="6816D377" w14:textId="77777777" w:rsidR="00DB2059" w:rsidRPr="005606F3" w:rsidRDefault="00DB2059" w:rsidP="00DB2059">
            <w:pPr>
              <w:pStyle w:val="TAN"/>
              <w:rPr>
                <w:rFonts w:hint="eastAsia"/>
                <w:lang w:eastAsia="zh-CN"/>
              </w:rPr>
            </w:pPr>
            <w:r>
              <w:t xml:space="preserve">                 </w:t>
            </w:r>
            <w:r w:rsidRPr="000778CB">
              <w:t>C</w:t>
            </w:r>
            <w:r w:rsidRPr="000778CB">
              <w:rPr>
                <w:rFonts w:hint="eastAsia"/>
              </w:rPr>
              <w:t>A</w:t>
            </w:r>
            <w:r>
              <w:t>_NC corresponds to NR</w:t>
            </w:r>
            <w:r w:rsidRPr="000778CB">
              <w:t xml:space="preserve"> CA configurations and bandwidth combi</w:t>
            </w:r>
            <w:r>
              <w:t>nation sets defined in Table 5.5A.2-1</w:t>
            </w:r>
            <w:r w:rsidRPr="000778CB">
              <w:t xml:space="preserve"> for </w:t>
            </w:r>
            <w:r>
              <w:t>intra-band non-contiguous CA in FR2 [7].</w:t>
            </w:r>
          </w:p>
        </w:tc>
      </w:tr>
    </w:tbl>
    <w:p w14:paraId="05E44B11" w14:textId="77777777" w:rsidR="00DB2059" w:rsidRDefault="00DB2059" w:rsidP="00DB2059"/>
    <w:p w14:paraId="22207570" w14:textId="77777777" w:rsidR="00DB2059" w:rsidRPr="005606F3" w:rsidRDefault="00DB2059" w:rsidP="00DB2059">
      <w:pPr>
        <w:pStyle w:val="TH"/>
      </w:pPr>
      <w:r w:rsidRPr="005606F3">
        <w:t xml:space="preserve">Table </w:t>
      </w:r>
      <w:r>
        <w:t>X1-3</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Pr>
          <w:lang w:eastAsia="zh-CN"/>
        </w:rPr>
        <w:t xml:space="preserve">for CA configurations </w:t>
      </w:r>
      <w:r w:rsidRPr="00070DC3">
        <w:rPr>
          <w:highlight w:val="yellow"/>
          <w:lang w:eastAsia="zh-CN"/>
        </w:rPr>
        <w:t>between FR1 and FR2</w:t>
      </w:r>
      <w:r>
        <w:rPr>
          <w:lang w:eastAsia="zh-CN"/>
        </w:rPr>
        <w:t xml:space="preserve">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B2059" w:rsidRPr="005606F3" w14:paraId="05BCA3ED"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52460E3F" w14:textId="77777777" w:rsidR="00DB2059" w:rsidRPr="005606F3" w:rsidRDefault="00DB2059" w:rsidP="002A027E">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649D6871" w14:textId="77777777" w:rsidR="00DB2059" w:rsidRPr="005606F3" w:rsidRDefault="00DB2059" w:rsidP="002A027E">
            <w:pPr>
              <w:pStyle w:val="TAH"/>
              <w:rPr>
                <w:rFonts w:cs="Arial"/>
              </w:rPr>
            </w:pPr>
            <w:r w:rsidRPr="005606F3">
              <w:rPr>
                <w:rFonts w:cs="Arial"/>
              </w:rPr>
              <w:t>CA Capability Description</w:t>
            </w:r>
          </w:p>
        </w:tc>
      </w:tr>
      <w:tr w:rsidR="00DB2059" w:rsidRPr="005606F3" w14:paraId="25B1C38F"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30E96BA7" w14:textId="77777777" w:rsidR="00DB2059" w:rsidRPr="005606F3" w:rsidRDefault="00DB2059" w:rsidP="00DB2059">
            <w:pPr>
              <w:pStyle w:val="TAC"/>
              <w:rPr>
                <w:rFonts w:cs="Arial"/>
              </w:rPr>
            </w:pPr>
            <w:r w:rsidRPr="005606F3">
              <w:rPr>
                <w:rFonts w:cs="Arial"/>
              </w:rPr>
              <w:t>C</w:t>
            </w:r>
            <w:r w:rsidRPr="005606F3">
              <w:rPr>
                <w:rFonts w:cs="Arial" w:hint="eastAsia"/>
                <w:lang w:eastAsia="zh-CN"/>
              </w:rPr>
              <w:t>A</w:t>
            </w:r>
            <w:r>
              <w:rPr>
                <w:rFonts w:cs="Arial"/>
              </w:rPr>
              <w:t>_A2</w:t>
            </w:r>
          </w:p>
        </w:tc>
        <w:tc>
          <w:tcPr>
            <w:tcW w:w="5768" w:type="dxa"/>
            <w:tcBorders>
              <w:top w:val="single" w:sz="4" w:space="0" w:color="auto"/>
              <w:left w:val="single" w:sz="4" w:space="0" w:color="auto"/>
              <w:bottom w:val="single" w:sz="4" w:space="0" w:color="auto"/>
              <w:right w:val="single" w:sz="4" w:space="0" w:color="auto"/>
            </w:tcBorders>
            <w:hideMark/>
          </w:tcPr>
          <w:p w14:paraId="05D3B41F" w14:textId="77777777" w:rsidR="00DB2059" w:rsidRPr="005606F3" w:rsidRDefault="00DB2059" w:rsidP="00DB2059">
            <w:pPr>
              <w:pStyle w:val="TAC"/>
              <w:rPr>
                <w:rFonts w:cs="Arial"/>
              </w:rPr>
            </w:pPr>
            <w:r>
              <w:rPr>
                <w:rFonts w:cs="Arial"/>
              </w:rPr>
              <w:t>Inter-band CA (two</w:t>
            </w:r>
            <w:r w:rsidRPr="005606F3">
              <w:rPr>
                <w:rFonts w:cs="Arial"/>
              </w:rPr>
              <w:t xml:space="preserve"> bands)</w:t>
            </w:r>
          </w:p>
        </w:tc>
      </w:tr>
      <w:tr w:rsidR="00DB2059" w:rsidRPr="005606F3" w14:paraId="060115BF"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tcPr>
          <w:p w14:paraId="2FA80491" w14:textId="77777777" w:rsidR="00DB2059" w:rsidRPr="005606F3" w:rsidRDefault="00DB2059" w:rsidP="00DB2059">
            <w:pPr>
              <w:pStyle w:val="TAC"/>
              <w:rPr>
                <w:rFonts w:cs="Arial"/>
              </w:rPr>
            </w:pPr>
            <w:r w:rsidRPr="005606F3">
              <w:rPr>
                <w:rFonts w:cs="Arial"/>
              </w:rPr>
              <w:t>C</w:t>
            </w:r>
            <w:r w:rsidRPr="005606F3">
              <w:rPr>
                <w:rFonts w:cs="Arial" w:hint="eastAsia"/>
                <w:lang w:eastAsia="zh-CN"/>
              </w:rPr>
              <w:t>A</w:t>
            </w:r>
            <w:r>
              <w:rPr>
                <w:rFonts w:cs="Arial"/>
              </w:rPr>
              <w:t>_A3</w:t>
            </w:r>
          </w:p>
        </w:tc>
        <w:tc>
          <w:tcPr>
            <w:tcW w:w="5768" w:type="dxa"/>
            <w:tcBorders>
              <w:top w:val="single" w:sz="4" w:space="0" w:color="auto"/>
              <w:left w:val="single" w:sz="4" w:space="0" w:color="auto"/>
              <w:bottom w:val="single" w:sz="4" w:space="0" w:color="auto"/>
              <w:right w:val="single" w:sz="4" w:space="0" w:color="auto"/>
            </w:tcBorders>
          </w:tcPr>
          <w:p w14:paraId="5BC3EA51" w14:textId="77777777" w:rsidR="00DB2059" w:rsidRPr="005606F3" w:rsidRDefault="00DB2059" w:rsidP="00DB2059">
            <w:pPr>
              <w:pStyle w:val="TAC"/>
              <w:rPr>
                <w:rFonts w:cs="Arial"/>
              </w:rPr>
            </w:pPr>
            <w:r>
              <w:rPr>
                <w:rFonts w:cs="Arial"/>
              </w:rPr>
              <w:t>Inter-band CA (three</w:t>
            </w:r>
            <w:r w:rsidRPr="005606F3">
              <w:rPr>
                <w:rFonts w:cs="Arial"/>
              </w:rPr>
              <w:t xml:space="preserve"> bands)</w:t>
            </w:r>
          </w:p>
        </w:tc>
      </w:tr>
      <w:tr w:rsidR="00DB2059" w:rsidRPr="005606F3" w14:paraId="2E1954D6"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tcPr>
          <w:p w14:paraId="72ABFE93" w14:textId="77777777" w:rsidR="00DB2059" w:rsidRPr="005606F3" w:rsidRDefault="00DB2059" w:rsidP="00DB2059">
            <w:pPr>
              <w:pStyle w:val="TAC"/>
              <w:rPr>
                <w:rFonts w:cs="Arial"/>
              </w:rPr>
            </w:pPr>
            <w:r w:rsidRPr="005606F3">
              <w:rPr>
                <w:rFonts w:cs="Arial"/>
              </w:rPr>
              <w:t>C</w:t>
            </w:r>
            <w:r w:rsidRPr="005606F3">
              <w:rPr>
                <w:rFonts w:cs="Arial" w:hint="eastAsia"/>
                <w:lang w:eastAsia="zh-CN"/>
              </w:rPr>
              <w:t>A</w:t>
            </w:r>
            <w:r>
              <w:rPr>
                <w:rFonts w:cs="Arial"/>
              </w:rPr>
              <w:t>_A4</w:t>
            </w:r>
          </w:p>
        </w:tc>
        <w:tc>
          <w:tcPr>
            <w:tcW w:w="5768" w:type="dxa"/>
            <w:tcBorders>
              <w:top w:val="single" w:sz="4" w:space="0" w:color="auto"/>
              <w:left w:val="single" w:sz="4" w:space="0" w:color="auto"/>
              <w:bottom w:val="single" w:sz="4" w:space="0" w:color="auto"/>
              <w:right w:val="single" w:sz="4" w:space="0" w:color="auto"/>
            </w:tcBorders>
          </w:tcPr>
          <w:p w14:paraId="4B524477" w14:textId="77777777" w:rsidR="00DB2059" w:rsidRPr="005606F3" w:rsidRDefault="00DB2059" w:rsidP="00DB2059">
            <w:pPr>
              <w:pStyle w:val="TAC"/>
              <w:rPr>
                <w:rFonts w:cs="Arial"/>
              </w:rPr>
            </w:pPr>
            <w:r>
              <w:rPr>
                <w:rFonts w:cs="Arial"/>
              </w:rPr>
              <w:t>Inter-band CA (four</w:t>
            </w:r>
            <w:r w:rsidRPr="005606F3">
              <w:rPr>
                <w:rFonts w:cs="Arial"/>
              </w:rPr>
              <w:t xml:space="preserve"> bands)</w:t>
            </w:r>
          </w:p>
        </w:tc>
      </w:tr>
      <w:tr w:rsidR="00DB2059" w:rsidRPr="005606F3" w14:paraId="29CA9649" w14:textId="77777777" w:rsidTr="002A027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CD853C9" w14:textId="77777777" w:rsidR="00070DC3" w:rsidRDefault="00DB2059" w:rsidP="00070DC3">
            <w:pPr>
              <w:pStyle w:val="TAN"/>
            </w:pPr>
            <w:r w:rsidRPr="000778CB">
              <w:t>NOTE 1:</w:t>
            </w:r>
            <w:r w:rsidRPr="000778CB">
              <w:tab/>
            </w:r>
            <w:r w:rsidR="00070DC3" w:rsidRPr="000778CB">
              <w:t>C</w:t>
            </w:r>
            <w:r w:rsidR="00070DC3" w:rsidRPr="000778CB">
              <w:rPr>
                <w:rFonts w:hint="eastAsia"/>
              </w:rPr>
              <w:t>A</w:t>
            </w:r>
            <w:r w:rsidR="00070DC3" w:rsidRPr="000778CB">
              <w:t xml:space="preserve">_A2 corresponds to NR CA configurations and bandwidth combination sets defined in </w:t>
            </w:r>
            <w:r w:rsidR="00070DC3" w:rsidRPr="00070DC3">
              <w:rPr>
                <w:highlight w:val="yellow"/>
              </w:rPr>
              <w:t>Table 5.5A.1-1</w:t>
            </w:r>
            <w:r w:rsidR="00070DC3" w:rsidRPr="000778CB">
              <w:t xml:space="preserve"> for </w:t>
            </w:r>
            <w:r w:rsidR="00070DC3">
              <w:t>inter-band CA with</w:t>
            </w:r>
            <w:r w:rsidR="00070DC3" w:rsidRPr="000778CB">
              <w:t xml:space="preserve"> two bands</w:t>
            </w:r>
            <w:r w:rsidR="00070DC3">
              <w:t xml:space="preserve"> [8]</w:t>
            </w:r>
            <w:r w:rsidR="00070DC3" w:rsidRPr="000778CB">
              <w:t>.</w:t>
            </w:r>
          </w:p>
          <w:p w14:paraId="321308C8" w14:textId="77777777" w:rsidR="00070DC3" w:rsidRDefault="00070DC3" w:rsidP="00070DC3">
            <w:pPr>
              <w:pStyle w:val="TAN"/>
            </w:pPr>
            <w:r>
              <w:rPr>
                <w:rFonts w:hint="eastAsia"/>
                <w:lang w:eastAsia="zh-CN"/>
              </w:rPr>
              <w:t xml:space="preserve"> </w:t>
            </w:r>
            <w:r>
              <w:rPr>
                <w:lang w:eastAsia="zh-CN"/>
              </w:rPr>
              <w:t xml:space="preserve">                </w:t>
            </w:r>
            <w:r w:rsidRPr="000778CB">
              <w:t>C</w:t>
            </w:r>
            <w:r w:rsidRPr="000778CB">
              <w:rPr>
                <w:rFonts w:hint="eastAsia"/>
              </w:rPr>
              <w:t>A</w:t>
            </w:r>
            <w:r w:rsidRPr="000778CB">
              <w:t xml:space="preserve">_A3 corresponds to </w:t>
            </w:r>
            <w:r>
              <w:t>NR</w:t>
            </w:r>
            <w:r w:rsidRPr="000778CB">
              <w:t xml:space="preserve"> CA configurations and bandwidth combination sets defined in </w:t>
            </w:r>
            <w:r>
              <w:t>Table 5.5A.1</w:t>
            </w:r>
            <w:r w:rsidRPr="000778CB">
              <w:t xml:space="preserve">-2 for </w:t>
            </w:r>
            <w:r>
              <w:t>inter-band CA with</w:t>
            </w:r>
            <w:r w:rsidRPr="000778CB">
              <w:t xml:space="preserve"> three bands</w:t>
            </w:r>
            <w:r>
              <w:t xml:space="preserve"> [8]</w:t>
            </w:r>
            <w:r w:rsidRPr="000778CB">
              <w:t>.</w:t>
            </w:r>
          </w:p>
          <w:p w14:paraId="1F44B46E" w14:textId="77777777" w:rsidR="00DB2059" w:rsidRPr="00070DC3" w:rsidRDefault="00070DC3" w:rsidP="00070DC3">
            <w:pPr>
              <w:pStyle w:val="TAN"/>
              <w:rPr>
                <w:rFonts w:hint="eastAsia"/>
                <w:lang w:eastAsia="zh-CN"/>
              </w:rPr>
            </w:pPr>
            <w:r>
              <w:t xml:space="preserve">                 </w:t>
            </w:r>
            <w:r w:rsidRPr="000778CB">
              <w:t>C</w:t>
            </w:r>
            <w:r w:rsidRPr="000778CB">
              <w:rPr>
                <w:rFonts w:hint="eastAsia"/>
              </w:rPr>
              <w:t>A</w:t>
            </w:r>
            <w:r w:rsidRPr="000778CB">
              <w:t xml:space="preserve">_A4 corresponds to NR CA configurations and bandwidth combination sets defined in </w:t>
            </w:r>
            <w:r w:rsidRPr="00070DC3">
              <w:t>Table 5.5A.1-3</w:t>
            </w:r>
            <w:r w:rsidRPr="000778CB">
              <w:t xml:space="preserve"> for </w:t>
            </w:r>
            <w:r>
              <w:t>inter-band CA with</w:t>
            </w:r>
            <w:r w:rsidRPr="000778CB">
              <w:t xml:space="preserve"> four bands</w:t>
            </w:r>
            <w:r>
              <w:t xml:space="preserve"> [8].</w:t>
            </w:r>
          </w:p>
        </w:tc>
      </w:tr>
    </w:tbl>
    <w:p w14:paraId="5BF43C72" w14:textId="77777777" w:rsidR="00DB2059" w:rsidRDefault="00DB2059" w:rsidP="00DB2059"/>
    <w:p w14:paraId="43BFB7A8" w14:textId="77777777" w:rsidR="00DB2059" w:rsidRPr="001934FC" w:rsidRDefault="002A261A" w:rsidP="005606F3">
      <w:pPr>
        <w:rPr>
          <w:rFonts w:hint="eastAsia"/>
          <w:lang w:eastAsia="zh-CN"/>
        </w:rPr>
      </w:pPr>
      <w:r>
        <w:rPr>
          <w:rFonts w:hint="eastAsia"/>
          <w:lang w:eastAsia="zh-CN"/>
        </w:rPr>
        <w:t>F</w:t>
      </w:r>
      <w:r>
        <w:rPr>
          <w:lang w:eastAsia="zh-CN"/>
        </w:rPr>
        <w:t xml:space="preserve">or Option 2, we do not need to differentiate the inter-band CA with different number of bands, the section number of configurations for CA in TS 38.101-1, </w:t>
      </w:r>
      <w:r w:rsidR="007B508F">
        <w:rPr>
          <w:lang w:eastAsia="zh-CN"/>
        </w:rPr>
        <w:t xml:space="preserve">TS </w:t>
      </w:r>
      <w:r>
        <w:rPr>
          <w:lang w:eastAsia="zh-CN"/>
        </w:rPr>
        <w:t xml:space="preserve">38.101-2 and </w:t>
      </w:r>
      <w:r w:rsidR="007B508F">
        <w:rPr>
          <w:lang w:eastAsia="zh-CN"/>
        </w:rPr>
        <w:t xml:space="preserve">TS </w:t>
      </w:r>
      <w:r>
        <w:rPr>
          <w:lang w:eastAsia="zh-CN"/>
        </w:rPr>
        <w:t xml:space="preserve">38.101-3 is same, </w:t>
      </w:r>
      <w:r w:rsidR="00031B03">
        <w:rPr>
          <w:lang w:eastAsia="zh-CN"/>
        </w:rPr>
        <w:t>and it</w:t>
      </w:r>
      <w:r>
        <w:rPr>
          <w:lang w:eastAsia="zh-CN"/>
        </w:rPr>
        <w:t xml:space="preserve"> is convenient and future proof to just refer to the section number as shown below</w:t>
      </w:r>
      <w:r>
        <w:rPr>
          <w:rFonts w:hint="eastAsia"/>
          <w:lang w:eastAsia="zh-CN"/>
        </w:rPr>
        <w:t>:</w:t>
      </w:r>
    </w:p>
    <w:p w14:paraId="2CF5847F" w14:textId="77777777" w:rsidR="00DC67DD" w:rsidRPr="005606F3" w:rsidRDefault="00DC67DD" w:rsidP="00DC67DD">
      <w:pPr>
        <w:pStyle w:val="TH"/>
      </w:pPr>
      <w:r w:rsidRPr="005606F3">
        <w:t xml:space="preserve">Table </w:t>
      </w:r>
      <w:r w:rsidR="00DB2059">
        <w:t>X2-1</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Pr>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DC67DD" w:rsidRPr="005606F3" w14:paraId="76AAF40D"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61E8B528" w14:textId="77777777" w:rsidR="00DC67DD" w:rsidRPr="005606F3" w:rsidRDefault="00DC67DD" w:rsidP="00C65B56">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377AA223" w14:textId="77777777" w:rsidR="00DC67DD" w:rsidRPr="005606F3" w:rsidRDefault="00DC67DD" w:rsidP="00C65B56">
            <w:pPr>
              <w:pStyle w:val="TAH"/>
              <w:rPr>
                <w:rFonts w:cs="Arial"/>
              </w:rPr>
            </w:pPr>
            <w:r w:rsidRPr="005606F3">
              <w:rPr>
                <w:rFonts w:cs="Arial"/>
              </w:rPr>
              <w:t>CA Capability Description</w:t>
            </w:r>
          </w:p>
        </w:tc>
      </w:tr>
      <w:tr w:rsidR="00DC67DD" w:rsidRPr="005606F3" w14:paraId="0A08EC2D"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176180AD" w14:textId="77777777" w:rsidR="00DC67DD" w:rsidRPr="005606F3" w:rsidRDefault="00DC67DD" w:rsidP="00C65B56">
            <w:pPr>
              <w:pStyle w:val="TAC"/>
              <w:rPr>
                <w:rFonts w:cs="Arial"/>
              </w:rPr>
            </w:pPr>
            <w:r w:rsidRPr="005606F3">
              <w:rPr>
                <w:rFonts w:cs="Arial"/>
              </w:rPr>
              <w:t>C</w:t>
            </w:r>
            <w:r w:rsidRPr="005606F3">
              <w:rPr>
                <w:rFonts w:cs="Arial" w:hint="eastAsia"/>
                <w:lang w:eastAsia="zh-CN"/>
              </w:rPr>
              <w:t>A</w:t>
            </w:r>
            <w:r w:rsidRPr="005606F3">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12921A55" w14:textId="77777777" w:rsidR="00DC67DD" w:rsidRPr="005606F3" w:rsidRDefault="00DC67DD" w:rsidP="00C65B56">
            <w:pPr>
              <w:pStyle w:val="TAC"/>
              <w:rPr>
                <w:rFonts w:cs="Arial"/>
              </w:rPr>
            </w:pPr>
            <w:r w:rsidRPr="005606F3">
              <w:rPr>
                <w:rFonts w:cs="Arial"/>
              </w:rPr>
              <w:t>Intra-band contiguous CA</w:t>
            </w:r>
          </w:p>
        </w:tc>
      </w:tr>
      <w:tr w:rsidR="00DC67DD" w:rsidRPr="005606F3" w14:paraId="7E3EC9F0"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hideMark/>
          </w:tcPr>
          <w:p w14:paraId="13591DCB" w14:textId="77777777" w:rsidR="00DC67DD" w:rsidRPr="005606F3" w:rsidRDefault="00DC67DD" w:rsidP="00C65B56">
            <w:pPr>
              <w:pStyle w:val="TAC"/>
              <w:rPr>
                <w:rFonts w:cs="Arial"/>
              </w:rPr>
            </w:pPr>
            <w:r w:rsidRPr="005606F3">
              <w:rPr>
                <w:rFonts w:cs="Arial"/>
              </w:rPr>
              <w:t>C</w:t>
            </w:r>
            <w:r w:rsidRPr="005606F3">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5CD8A500" w14:textId="77777777" w:rsidR="00DC67DD" w:rsidRPr="005606F3" w:rsidRDefault="00DC67DD" w:rsidP="00C65B56">
            <w:pPr>
              <w:pStyle w:val="TAC"/>
              <w:rPr>
                <w:rFonts w:cs="Arial" w:hint="eastAsia"/>
                <w:lang w:eastAsia="zh-CN"/>
              </w:rPr>
            </w:pPr>
            <w:r w:rsidRPr="005606F3">
              <w:rPr>
                <w:rFonts w:cs="Arial"/>
              </w:rPr>
              <w:t>Intra-band non-contiguous CA</w:t>
            </w:r>
          </w:p>
        </w:tc>
      </w:tr>
      <w:tr w:rsidR="00DC67DD" w:rsidRPr="005606F3" w14:paraId="7786271B" w14:textId="77777777" w:rsidTr="00C65B56">
        <w:trPr>
          <w:jc w:val="center"/>
        </w:trPr>
        <w:tc>
          <w:tcPr>
            <w:tcW w:w="1232" w:type="dxa"/>
            <w:tcBorders>
              <w:top w:val="single" w:sz="4" w:space="0" w:color="auto"/>
              <w:left w:val="single" w:sz="4" w:space="0" w:color="auto"/>
              <w:bottom w:val="single" w:sz="4" w:space="0" w:color="auto"/>
              <w:right w:val="single" w:sz="4" w:space="0" w:color="auto"/>
            </w:tcBorders>
          </w:tcPr>
          <w:p w14:paraId="49D5ED54" w14:textId="77777777" w:rsidR="00DC67DD" w:rsidRPr="005606F3" w:rsidRDefault="00DC67DD" w:rsidP="00C65B56">
            <w:pPr>
              <w:pStyle w:val="TAC"/>
              <w:rPr>
                <w:rFonts w:cs="Arial"/>
              </w:rPr>
            </w:pPr>
            <w:r w:rsidRPr="005606F3">
              <w:rPr>
                <w:rFonts w:cs="Arial"/>
              </w:rPr>
              <w:t>C</w:t>
            </w:r>
            <w:r w:rsidRPr="005606F3">
              <w:rPr>
                <w:rFonts w:cs="Arial" w:hint="eastAsia"/>
                <w:lang w:eastAsia="zh-CN"/>
              </w:rPr>
              <w:t>A</w:t>
            </w:r>
            <w:r>
              <w:rPr>
                <w:rFonts w:cs="Arial"/>
              </w:rPr>
              <w:t>_A</w:t>
            </w:r>
          </w:p>
        </w:tc>
        <w:tc>
          <w:tcPr>
            <w:tcW w:w="5768" w:type="dxa"/>
            <w:tcBorders>
              <w:top w:val="single" w:sz="4" w:space="0" w:color="auto"/>
              <w:left w:val="single" w:sz="4" w:space="0" w:color="auto"/>
              <w:bottom w:val="single" w:sz="4" w:space="0" w:color="auto"/>
              <w:right w:val="single" w:sz="4" w:space="0" w:color="auto"/>
            </w:tcBorders>
          </w:tcPr>
          <w:p w14:paraId="2EFE9425" w14:textId="77777777" w:rsidR="00DC67DD" w:rsidRPr="005606F3" w:rsidRDefault="00DC67DD" w:rsidP="00DC67DD">
            <w:pPr>
              <w:pStyle w:val="TAC"/>
              <w:rPr>
                <w:rFonts w:cs="Arial"/>
              </w:rPr>
            </w:pPr>
            <w:r>
              <w:rPr>
                <w:rFonts w:cs="Arial"/>
              </w:rPr>
              <w:t>Inter-band CA</w:t>
            </w:r>
          </w:p>
        </w:tc>
      </w:tr>
      <w:tr w:rsidR="00DC67DD" w:rsidRPr="005606F3" w14:paraId="6A88DE9D" w14:textId="77777777" w:rsidTr="00C65B56">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70972493" w14:textId="77777777" w:rsidR="00DC67DD" w:rsidRDefault="00DC67DD" w:rsidP="00C65B56">
            <w:pPr>
              <w:pStyle w:val="TAN"/>
            </w:pPr>
            <w:r w:rsidRPr="000778CB">
              <w:t>NOTE 1:</w:t>
            </w:r>
            <w:r w:rsidRPr="000778CB">
              <w:tab/>
              <w:t>C</w:t>
            </w:r>
            <w:r w:rsidRPr="000778CB">
              <w:rPr>
                <w:rFonts w:hint="eastAsia"/>
              </w:rPr>
              <w:t>A</w:t>
            </w:r>
            <w:r w:rsidRPr="000778CB">
              <w:t xml:space="preserve">_C corresponds to NR CA configurations and bandwidth combination sets defined in </w:t>
            </w:r>
            <w:r w:rsidR="00865ACD" w:rsidRPr="0075508C">
              <w:rPr>
                <w:highlight w:val="cyan"/>
              </w:rPr>
              <w:t>section</w:t>
            </w:r>
            <w:r w:rsidRPr="0075508C">
              <w:rPr>
                <w:highlight w:val="cyan"/>
              </w:rPr>
              <w:t xml:space="preserve"> 5.5A.1</w:t>
            </w:r>
            <w:r w:rsidRPr="000778CB">
              <w:t xml:space="preserve"> </w:t>
            </w:r>
            <w:r w:rsidR="00865ACD">
              <w:t>[6~</w:t>
            </w:r>
            <w:r w:rsidR="0075508C">
              <w:t>7</w:t>
            </w:r>
            <w:r w:rsidR="00865ACD">
              <w:t xml:space="preserve">], </w:t>
            </w:r>
            <w:r w:rsidRPr="000778CB">
              <w:t xml:space="preserve">for intra-band contiguous CA. </w:t>
            </w:r>
          </w:p>
          <w:p w14:paraId="71631FA6" w14:textId="77777777" w:rsidR="004E5D58" w:rsidRDefault="004E5D58" w:rsidP="00C65B56">
            <w:pPr>
              <w:pStyle w:val="TAN"/>
            </w:pPr>
            <w:r>
              <w:t xml:space="preserve">                 </w:t>
            </w:r>
            <w:r w:rsidRPr="000778CB">
              <w:t>C</w:t>
            </w:r>
            <w:r w:rsidRPr="000778CB">
              <w:rPr>
                <w:rFonts w:hint="eastAsia"/>
              </w:rPr>
              <w:t>A</w:t>
            </w:r>
            <w:r>
              <w:t>_N2 corresponds to NR</w:t>
            </w:r>
            <w:r w:rsidRPr="000778CB">
              <w:t xml:space="preserve"> CA configurations and bandwidth combi</w:t>
            </w:r>
            <w:r>
              <w:t xml:space="preserve">nation sets defined in </w:t>
            </w:r>
            <w:r w:rsidR="00865ACD">
              <w:t>section</w:t>
            </w:r>
            <w:r>
              <w:t xml:space="preserve"> 5.5A.2</w:t>
            </w:r>
            <w:r w:rsidR="00865ACD">
              <w:t xml:space="preserve"> [6~</w:t>
            </w:r>
            <w:r w:rsidR="0075508C">
              <w:t>7</w:t>
            </w:r>
            <w:r w:rsidR="00865ACD">
              <w:t>]</w:t>
            </w:r>
            <w:r w:rsidRPr="000778CB">
              <w:t xml:space="preserve"> for </w:t>
            </w:r>
            <w:r>
              <w:t>intra-band non-contiguous CA</w:t>
            </w:r>
            <w:r w:rsidRPr="000778CB">
              <w:t>.</w:t>
            </w:r>
          </w:p>
          <w:p w14:paraId="02C21413" w14:textId="77777777" w:rsidR="00DC67DD" w:rsidRPr="005606F3" w:rsidRDefault="004E5D58" w:rsidP="0075508C">
            <w:pPr>
              <w:pStyle w:val="TAN"/>
            </w:pPr>
            <w:r>
              <w:t xml:space="preserve">                 </w:t>
            </w:r>
            <w:r w:rsidRPr="000778CB">
              <w:t>C</w:t>
            </w:r>
            <w:r w:rsidRPr="000778CB">
              <w:rPr>
                <w:rFonts w:hint="eastAsia"/>
              </w:rPr>
              <w:t>A</w:t>
            </w:r>
            <w:r w:rsidRPr="000778CB">
              <w:t xml:space="preserve">_A corresponds to NR CA configurations and bandwidth combination sets defined in </w:t>
            </w:r>
            <w:r w:rsidRPr="0075508C">
              <w:t xml:space="preserve">section 5.5A.3 </w:t>
            </w:r>
            <w:r w:rsidR="00DB2059" w:rsidRPr="0075508C">
              <w:t xml:space="preserve">[6, 8] </w:t>
            </w:r>
            <w:r w:rsidR="00865ACD" w:rsidRPr="00865ACD">
              <w:t xml:space="preserve">for </w:t>
            </w:r>
            <w:r w:rsidRPr="00865ACD">
              <w:t>i</w:t>
            </w:r>
            <w:r>
              <w:t>nter-band CA</w:t>
            </w:r>
            <w:r w:rsidR="00E17E29">
              <w:t>.</w:t>
            </w:r>
          </w:p>
        </w:tc>
      </w:tr>
    </w:tbl>
    <w:p w14:paraId="1FD11258" w14:textId="77777777" w:rsidR="00DC67DD" w:rsidRPr="001934FC" w:rsidRDefault="00DC67DD" w:rsidP="00DC67DD"/>
    <w:p w14:paraId="32B97444" w14:textId="77777777" w:rsidR="00020B6F" w:rsidRPr="00E17E29" w:rsidRDefault="00E17E29" w:rsidP="00E17E29">
      <w:pPr>
        <w:rPr>
          <w:b/>
          <w:lang w:eastAsia="zh-CN"/>
        </w:rPr>
      </w:pPr>
      <w:r w:rsidRPr="00E17E29">
        <w:rPr>
          <w:b/>
          <w:lang w:eastAsia="zh-CN"/>
        </w:rPr>
        <w:t xml:space="preserve">Observation 2: No </w:t>
      </w:r>
      <w:r w:rsidR="00031B03">
        <w:rPr>
          <w:b/>
          <w:lang w:eastAsia="zh-CN"/>
        </w:rPr>
        <w:t>further specification maintenance is needed for Option 2</w:t>
      </w:r>
      <w:r w:rsidRPr="00E17E29">
        <w:rPr>
          <w:b/>
          <w:lang w:eastAsia="zh-CN"/>
        </w:rPr>
        <w:t>.</w:t>
      </w:r>
      <w:r w:rsidR="004C08C2" w:rsidRPr="00E17E29">
        <w:rPr>
          <w:b/>
          <w:lang w:eastAsia="zh-CN"/>
        </w:rPr>
        <w:t xml:space="preserve"> </w:t>
      </w:r>
    </w:p>
    <w:p w14:paraId="0FAE1452" w14:textId="77777777" w:rsidR="00020B6F" w:rsidRPr="00031B03" w:rsidRDefault="00031B03" w:rsidP="000605B5">
      <w:pPr>
        <w:rPr>
          <w:b/>
          <w:lang w:val="en-US" w:eastAsia="zh-CN"/>
        </w:rPr>
      </w:pPr>
      <w:r w:rsidRPr="00031B03">
        <w:rPr>
          <w:rFonts w:hint="eastAsia"/>
          <w:b/>
          <w:lang w:val="en-US" w:eastAsia="zh-CN"/>
        </w:rPr>
        <w:t>P</w:t>
      </w:r>
      <w:r w:rsidRPr="00031B03">
        <w:rPr>
          <w:b/>
          <w:lang w:val="en-US" w:eastAsia="zh-CN"/>
        </w:rPr>
        <w:t>roposal 4: Adopt Option 2 for CA capability definition, with definition:</w:t>
      </w:r>
    </w:p>
    <w:p w14:paraId="244E496F" w14:textId="77777777" w:rsidR="00031B03" w:rsidRPr="005606F3" w:rsidRDefault="00031B03" w:rsidP="00031B03">
      <w:pPr>
        <w:pStyle w:val="TH"/>
      </w:pPr>
      <w:r w:rsidRPr="005606F3">
        <w:t xml:space="preserve">Table </w:t>
      </w:r>
      <w:r>
        <w:t>X2-1</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Pr>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031B03" w:rsidRPr="005606F3" w14:paraId="113BC808"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6A63F147" w14:textId="77777777" w:rsidR="00031B03" w:rsidRPr="005606F3" w:rsidRDefault="00031B03" w:rsidP="002A027E">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72C1559" w14:textId="77777777" w:rsidR="00031B03" w:rsidRPr="005606F3" w:rsidRDefault="00031B03" w:rsidP="002A027E">
            <w:pPr>
              <w:pStyle w:val="TAH"/>
              <w:rPr>
                <w:rFonts w:cs="Arial"/>
              </w:rPr>
            </w:pPr>
            <w:r w:rsidRPr="005606F3">
              <w:rPr>
                <w:rFonts w:cs="Arial"/>
              </w:rPr>
              <w:t>CA Capability Description</w:t>
            </w:r>
          </w:p>
        </w:tc>
      </w:tr>
      <w:tr w:rsidR="00031B03" w:rsidRPr="005606F3" w14:paraId="4CA878B9"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3D75A66F" w14:textId="77777777" w:rsidR="00031B03" w:rsidRPr="005606F3" w:rsidRDefault="00031B03" w:rsidP="002A027E">
            <w:pPr>
              <w:pStyle w:val="TAC"/>
              <w:rPr>
                <w:rFonts w:cs="Arial"/>
              </w:rPr>
            </w:pPr>
            <w:r w:rsidRPr="005606F3">
              <w:rPr>
                <w:rFonts w:cs="Arial"/>
              </w:rPr>
              <w:t>C</w:t>
            </w:r>
            <w:r w:rsidRPr="005606F3">
              <w:rPr>
                <w:rFonts w:cs="Arial" w:hint="eastAsia"/>
                <w:lang w:eastAsia="zh-CN"/>
              </w:rPr>
              <w:t>A</w:t>
            </w:r>
            <w:r w:rsidRPr="005606F3">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657ECDC2" w14:textId="77777777" w:rsidR="00031B03" w:rsidRPr="005606F3" w:rsidRDefault="00031B03" w:rsidP="002A027E">
            <w:pPr>
              <w:pStyle w:val="TAC"/>
              <w:rPr>
                <w:rFonts w:cs="Arial"/>
              </w:rPr>
            </w:pPr>
            <w:r w:rsidRPr="005606F3">
              <w:rPr>
                <w:rFonts w:cs="Arial"/>
              </w:rPr>
              <w:t>Intra-band contiguous CA</w:t>
            </w:r>
          </w:p>
        </w:tc>
      </w:tr>
      <w:tr w:rsidR="00031B03" w:rsidRPr="005606F3" w14:paraId="0896A2B4"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hideMark/>
          </w:tcPr>
          <w:p w14:paraId="762C2499" w14:textId="77777777" w:rsidR="00031B03" w:rsidRPr="005606F3" w:rsidRDefault="00031B03" w:rsidP="002A027E">
            <w:pPr>
              <w:pStyle w:val="TAC"/>
              <w:rPr>
                <w:rFonts w:cs="Arial"/>
              </w:rPr>
            </w:pPr>
            <w:r w:rsidRPr="005606F3">
              <w:rPr>
                <w:rFonts w:cs="Arial"/>
              </w:rPr>
              <w:t>C</w:t>
            </w:r>
            <w:r w:rsidRPr="005606F3">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16850828" w14:textId="77777777" w:rsidR="00031B03" w:rsidRPr="005606F3" w:rsidRDefault="00031B03" w:rsidP="002A027E">
            <w:pPr>
              <w:pStyle w:val="TAC"/>
              <w:rPr>
                <w:rFonts w:cs="Arial" w:hint="eastAsia"/>
                <w:lang w:eastAsia="zh-CN"/>
              </w:rPr>
            </w:pPr>
            <w:r w:rsidRPr="005606F3">
              <w:rPr>
                <w:rFonts w:cs="Arial"/>
              </w:rPr>
              <w:t>Intra-band non-contiguous CA</w:t>
            </w:r>
          </w:p>
        </w:tc>
      </w:tr>
      <w:tr w:rsidR="00031B03" w:rsidRPr="005606F3" w14:paraId="2FAA2529" w14:textId="77777777" w:rsidTr="002A027E">
        <w:trPr>
          <w:jc w:val="center"/>
        </w:trPr>
        <w:tc>
          <w:tcPr>
            <w:tcW w:w="1232" w:type="dxa"/>
            <w:tcBorders>
              <w:top w:val="single" w:sz="4" w:space="0" w:color="auto"/>
              <w:left w:val="single" w:sz="4" w:space="0" w:color="auto"/>
              <w:bottom w:val="single" w:sz="4" w:space="0" w:color="auto"/>
              <w:right w:val="single" w:sz="4" w:space="0" w:color="auto"/>
            </w:tcBorders>
          </w:tcPr>
          <w:p w14:paraId="15EC8166" w14:textId="77777777" w:rsidR="00031B03" w:rsidRPr="005606F3" w:rsidRDefault="00031B03" w:rsidP="002A027E">
            <w:pPr>
              <w:pStyle w:val="TAC"/>
              <w:rPr>
                <w:rFonts w:cs="Arial"/>
              </w:rPr>
            </w:pPr>
            <w:r w:rsidRPr="005606F3">
              <w:rPr>
                <w:rFonts w:cs="Arial"/>
              </w:rPr>
              <w:t>C</w:t>
            </w:r>
            <w:r w:rsidRPr="005606F3">
              <w:rPr>
                <w:rFonts w:cs="Arial" w:hint="eastAsia"/>
                <w:lang w:eastAsia="zh-CN"/>
              </w:rPr>
              <w:t>A</w:t>
            </w:r>
            <w:r>
              <w:rPr>
                <w:rFonts w:cs="Arial"/>
              </w:rPr>
              <w:t>_A</w:t>
            </w:r>
          </w:p>
        </w:tc>
        <w:tc>
          <w:tcPr>
            <w:tcW w:w="5768" w:type="dxa"/>
            <w:tcBorders>
              <w:top w:val="single" w:sz="4" w:space="0" w:color="auto"/>
              <w:left w:val="single" w:sz="4" w:space="0" w:color="auto"/>
              <w:bottom w:val="single" w:sz="4" w:space="0" w:color="auto"/>
              <w:right w:val="single" w:sz="4" w:space="0" w:color="auto"/>
            </w:tcBorders>
          </w:tcPr>
          <w:p w14:paraId="2D2CEDC3" w14:textId="77777777" w:rsidR="00031B03" w:rsidRPr="005606F3" w:rsidRDefault="00031B03" w:rsidP="002A027E">
            <w:pPr>
              <w:pStyle w:val="TAC"/>
              <w:rPr>
                <w:rFonts w:cs="Arial"/>
              </w:rPr>
            </w:pPr>
            <w:r>
              <w:rPr>
                <w:rFonts w:cs="Arial"/>
              </w:rPr>
              <w:t>Inter-band CA</w:t>
            </w:r>
          </w:p>
        </w:tc>
      </w:tr>
      <w:tr w:rsidR="00031B03" w:rsidRPr="005606F3" w14:paraId="5DEBC8A6" w14:textId="77777777" w:rsidTr="002A027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D606F23" w14:textId="77777777" w:rsidR="00031B03" w:rsidRDefault="00031B03" w:rsidP="002A027E">
            <w:pPr>
              <w:pStyle w:val="TAN"/>
            </w:pPr>
            <w:r w:rsidRPr="000778CB">
              <w:t>NOTE 1:</w:t>
            </w:r>
            <w:r w:rsidRPr="000778CB">
              <w:tab/>
              <w:t>C</w:t>
            </w:r>
            <w:r w:rsidRPr="000778CB">
              <w:rPr>
                <w:rFonts w:hint="eastAsia"/>
              </w:rPr>
              <w:t>A</w:t>
            </w:r>
            <w:r w:rsidRPr="000778CB">
              <w:t xml:space="preserve">_C corresponds to NR CA configurations and bandwidth combination sets defined in </w:t>
            </w:r>
            <w:r w:rsidRPr="00041E1E">
              <w:t>section 5.5A.1</w:t>
            </w:r>
            <w:r w:rsidRPr="000778CB">
              <w:t xml:space="preserve"> </w:t>
            </w:r>
            <w:r>
              <w:t xml:space="preserve">[6~7], </w:t>
            </w:r>
            <w:r w:rsidRPr="000778CB">
              <w:t xml:space="preserve">for intra-band contiguous CA. </w:t>
            </w:r>
          </w:p>
          <w:p w14:paraId="67945200" w14:textId="77777777" w:rsidR="00031B03" w:rsidRDefault="00031B03" w:rsidP="002A027E">
            <w:pPr>
              <w:pStyle w:val="TAN"/>
            </w:pPr>
            <w:r>
              <w:t xml:space="preserve">                 </w:t>
            </w:r>
            <w:r w:rsidRPr="000778CB">
              <w:t>C</w:t>
            </w:r>
            <w:r w:rsidRPr="000778CB">
              <w:rPr>
                <w:rFonts w:hint="eastAsia"/>
              </w:rPr>
              <w:t>A</w:t>
            </w:r>
            <w:r>
              <w:t>_N2 corresponds to NR</w:t>
            </w:r>
            <w:r w:rsidRPr="000778CB">
              <w:t xml:space="preserve"> CA configurations and bandwidth combi</w:t>
            </w:r>
            <w:r>
              <w:t>nation sets defined in section 5.5A.2 [6~7]</w:t>
            </w:r>
            <w:r w:rsidRPr="000778CB">
              <w:t xml:space="preserve"> for </w:t>
            </w:r>
            <w:r>
              <w:t>intra-band non-contiguous CA</w:t>
            </w:r>
            <w:r w:rsidRPr="000778CB">
              <w:t>.</w:t>
            </w:r>
          </w:p>
          <w:p w14:paraId="401AC45C" w14:textId="77777777" w:rsidR="00031B03" w:rsidRPr="005606F3" w:rsidRDefault="00031B03" w:rsidP="002A027E">
            <w:pPr>
              <w:pStyle w:val="TAN"/>
            </w:pPr>
            <w:r>
              <w:t xml:space="preserve">                 </w:t>
            </w:r>
            <w:r w:rsidRPr="000778CB">
              <w:t>C</w:t>
            </w:r>
            <w:r w:rsidRPr="000778CB">
              <w:rPr>
                <w:rFonts w:hint="eastAsia"/>
              </w:rPr>
              <w:t>A</w:t>
            </w:r>
            <w:r w:rsidRPr="000778CB">
              <w:t xml:space="preserve">_A corresponds to NR CA configurations and bandwidth combination sets defined in </w:t>
            </w:r>
            <w:r w:rsidRPr="0075508C">
              <w:t xml:space="preserve">section 5.5A.3 [6, 8] </w:t>
            </w:r>
            <w:r w:rsidRPr="00865ACD">
              <w:t>for i</w:t>
            </w:r>
            <w:r>
              <w:t>nter-band CA.</w:t>
            </w:r>
          </w:p>
        </w:tc>
      </w:tr>
    </w:tbl>
    <w:p w14:paraId="397D703B" w14:textId="77777777" w:rsidR="00031B03" w:rsidRPr="00020B6F" w:rsidRDefault="00031B03" w:rsidP="000605B5">
      <w:pPr>
        <w:rPr>
          <w:rFonts w:hint="eastAsia"/>
          <w:lang w:val="en-US" w:eastAsia="zh-CN"/>
        </w:rPr>
      </w:pPr>
    </w:p>
    <w:p w14:paraId="1C475ECD" w14:textId="77777777" w:rsidR="005606F3" w:rsidRPr="00DC67DD" w:rsidRDefault="00020B6F" w:rsidP="000605B5">
      <w:pPr>
        <w:rPr>
          <w:lang w:eastAsia="zh-CN"/>
        </w:rPr>
      </w:pPr>
      <w:r>
        <w:rPr>
          <w:lang w:eastAsia="zh-CN"/>
        </w:rPr>
        <w:t xml:space="preserve">For the test </w:t>
      </w:r>
      <w:r w:rsidR="005932C6">
        <w:rPr>
          <w:lang w:eastAsia="zh-CN"/>
        </w:rPr>
        <w:t>of different CA capabilities</w:t>
      </w:r>
      <w:r>
        <w:rPr>
          <w:lang w:eastAsia="zh-CN"/>
        </w:rPr>
        <w:t xml:space="preserve"> rule as </w:t>
      </w:r>
      <w:r w:rsidR="004C08C2">
        <w:rPr>
          <w:lang w:eastAsia="zh-CN"/>
        </w:rPr>
        <w:t>listed below</w:t>
      </w:r>
      <w:r w:rsidR="00F458C5">
        <w:rPr>
          <w:lang w:eastAsia="zh-CN"/>
        </w:rPr>
        <w:t xml:space="preserve"> </w:t>
      </w:r>
      <w:r>
        <w:rPr>
          <w:lang w:eastAsia="zh-CN"/>
        </w:rPr>
        <w:t>[1]</w:t>
      </w:r>
      <w:r w:rsidR="004C08C2">
        <w:rPr>
          <w:lang w:eastAsia="zh-CN"/>
        </w:rPr>
        <w:t>:</w:t>
      </w:r>
    </w:p>
    <w:p w14:paraId="790CB05E" w14:textId="77777777" w:rsidR="005606F3" w:rsidRDefault="00AC5920" w:rsidP="000605B5">
      <w:pPr>
        <w:rPr>
          <w:lang w:val="en-US" w:eastAsia="zh-CN"/>
        </w:rPr>
      </w:pPr>
      <w:r w:rsidRPr="00AC5920">
        <w:rPr>
          <w:rFonts w:hint="eastAsia"/>
          <w:u w:val="single"/>
          <w:lang w:val="en-US" w:eastAsia="zh-CN"/>
        </w:rPr>
        <w:t>Test of different CA capabilities</w:t>
      </w:r>
      <w:r w:rsidR="00524686">
        <w:rPr>
          <w:u w:val="single"/>
          <w:lang w:val="en-US" w:eastAsia="zh-CN"/>
        </w:rPr>
        <w:t>, selection of CA configurations and CBW combination</w:t>
      </w:r>
      <w:r>
        <w:rPr>
          <w:rFonts w:hint="eastAsia"/>
          <w:lang w:val="en-US" w:eastAsia="zh-CN"/>
        </w:rPr>
        <w:t>:</w:t>
      </w:r>
      <w:r>
        <w:rPr>
          <w:lang w:val="en-US" w:eastAsia="zh-CN"/>
        </w:rPr>
        <w:t xml:space="preserve"> </w:t>
      </w:r>
    </w:p>
    <w:p w14:paraId="76D6F471" w14:textId="77777777" w:rsidR="005606F3" w:rsidRPr="004E33FC" w:rsidRDefault="005606F3" w:rsidP="005606F3">
      <w:pPr>
        <w:numPr>
          <w:ilvl w:val="0"/>
          <w:numId w:val="40"/>
        </w:numPr>
        <w:rPr>
          <w:i/>
          <w:lang w:val="en-US" w:eastAsia="zh-CN"/>
        </w:rPr>
      </w:pPr>
      <w:r w:rsidRPr="004E33FC">
        <w:rPr>
          <w:i/>
          <w:lang w:eastAsia="zh-CN"/>
        </w:rPr>
        <w:t>Test of different CA capabilities</w:t>
      </w:r>
    </w:p>
    <w:p w14:paraId="2F6C7B47" w14:textId="77777777" w:rsidR="005606F3" w:rsidRPr="004E33FC" w:rsidRDefault="005606F3" w:rsidP="005606F3">
      <w:pPr>
        <w:numPr>
          <w:ilvl w:val="1"/>
          <w:numId w:val="40"/>
        </w:numPr>
        <w:rPr>
          <w:i/>
          <w:lang w:val="en-US" w:eastAsia="zh-CN"/>
        </w:rPr>
      </w:pPr>
      <w:r w:rsidRPr="004E33FC">
        <w:rPr>
          <w:i/>
          <w:lang w:eastAsia="zh-CN"/>
        </w:rPr>
        <w:lastRenderedPageBreak/>
        <w:t>Option 1: Test intra-band contiguous CA, intra-band non-contiguous CA and inter-band CA with the largest number of bands.</w:t>
      </w:r>
    </w:p>
    <w:p w14:paraId="6FC21FBE" w14:textId="77777777" w:rsidR="005606F3" w:rsidRPr="004E33FC" w:rsidRDefault="005606F3" w:rsidP="005606F3">
      <w:pPr>
        <w:numPr>
          <w:ilvl w:val="1"/>
          <w:numId w:val="40"/>
        </w:numPr>
        <w:rPr>
          <w:i/>
          <w:lang w:val="en-US" w:eastAsia="zh-CN"/>
        </w:rPr>
      </w:pPr>
      <w:r w:rsidRPr="004E33FC">
        <w:rPr>
          <w:i/>
          <w:lang w:eastAsia="zh-CN"/>
        </w:rPr>
        <w:t xml:space="preserve">Option </w:t>
      </w:r>
      <w:r w:rsidR="00572F50">
        <w:rPr>
          <w:i/>
          <w:lang w:eastAsia="zh-CN"/>
        </w:rPr>
        <w:t>2</w:t>
      </w:r>
      <w:r w:rsidRPr="004E33FC">
        <w:rPr>
          <w:i/>
          <w:lang w:eastAsia="zh-CN"/>
        </w:rPr>
        <w:t>: Test all the supported CA capabilities, including intra-band contiguous CA, intra-band non-contiguous CA and inter-band CA with different numbers of bands.</w:t>
      </w:r>
    </w:p>
    <w:p w14:paraId="0548AAC5" w14:textId="77777777" w:rsidR="005606F3" w:rsidRDefault="005932C6" w:rsidP="000605B5">
      <w:pPr>
        <w:rPr>
          <w:lang w:val="en-US" w:eastAsia="zh-CN"/>
        </w:rPr>
      </w:pPr>
      <w:r>
        <w:rPr>
          <w:rFonts w:hint="eastAsia"/>
          <w:lang w:val="en-US" w:eastAsia="zh-CN"/>
        </w:rPr>
        <w:t>F</w:t>
      </w:r>
      <w:r>
        <w:rPr>
          <w:lang w:val="en-US" w:eastAsia="zh-CN"/>
        </w:rPr>
        <w:t>rom our understanding, if UE can support inter-band CA with</w:t>
      </w:r>
      <w:r w:rsidR="00AE1F80">
        <w:rPr>
          <w:lang w:val="en-US" w:eastAsia="zh-CN"/>
        </w:rPr>
        <w:t xml:space="preserve"> larger number of bands, it definitely</w:t>
      </w:r>
      <w:r>
        <w:rPr>
          <w:lang w:val="en-US" w:eastAsia="zh-CN"/>
        </w:rPr>
        <w:t xml:space="preserve"> can support and pass the related performance requirements for inter-band CA with smaller number of bands, it is not necessary to test inter-band CA </w:t>
      </w:r>
      <w:r w:rsidR="003F5774">
        <w:rPr>
          <w:lang w:val="en-US" w:eastAsia="zh-CN"/>
        </w:rPr>
        <w:t>with different number of bands.</w:t>
      </w:r>
    </w:p>
    <w:p w14:paraId="4FCC0D06" w14:textId="77777777" w:rsidR="003F5774" w:rsidRPr="003F5774" w:rsidRDefault="00041E1E" w:rsidP="000605B5">
      <w:pPr>
        <w:rPr>
          <w:b/>
          <w:lang w:val="en-US" w:eastAsia="zh-CN"/>
        </w:rPr>
      </w:pPr>
      <w:r>
        <w:rPr>
          <w:b/>
          <w:lang w:val="en-US" w:eastAsia="zh-CN"/>
        </w:rPr>
        <w:t>Proposal 5</w:t>
      </w:r>
      <w:r w:rsidR="003F5774" w:rsidRPr="003F5774">
        <w:rPr>
          <w:b/>
          <w:lang w:val="en-US" w:eastAsia="zh-CN"/>
        </w:rPr>
        <w:t xml:space="preserve">: </w:t>
      </w:r>
      <w:r>
        <w:rPr>
          <w:b/>
          <w:lang w:val="en-US" w:eastAsia="zh-CN"/>
        </w:rPr>
        <w:t>Adopt</w:t>
      </w:r>
      <w:r w:rsidR="003F5774" w:rsidRPr="003F5774">
        <w:rPr>
          <w:b/>
          <w:lang w:val="en-US" w:eastAsia="zh-CN"/>
        </w:rPr>
        <w:t xml:space="preserve"> Option 1</w:t>
      </w:r>
      <w:r w:rsidR="003A6C6C">
        <w:rPr>
          <w:b/>
          <w:lang w:val="en-US" w:eastAsia="zh-CN"/>
        </w:rPr>
        <w:t>, i.e. test intra-band contiguous CA, intra-band non-contiguous CA and inter-band CA with the largest number of bands</w:t>
      </w:r>
      <w:r w:rsidR="003F5774" w:rsidRPr="003F5774">
        <w:rPr>
          <w:b/>
          <w:lang w:val="en-US" w:eastAsia="zh-CN"/>
        </w:rPr>
        <w:t xml:space="preserve"> for test of different CA capabilities.</w:t>
      </w:r>
    </w:p>
    <w:p w14:paraId="621C87A1" w14:textId="77777777" w:rsidR="003F5774" w:rsidRPr="003F5774" w:rsidRDefault="003F5774" w:rsidP="000605B5">
      <w:pPr>
        <w:rPr>
          <w:lang w:val="en-US" w:eastAsia="zh-CN"/>
        </w:rPr>
      </w:pPr>
    </w:p>
    <w:p w14:paraId="7B8C0D44" w14:textId="77777777" w:rsidR="00C21F01" w:rsidRPr="003F5774" w:rsidRDefault="003F5774" w:rsidP="003F5774">
      <w:pPr>
        <w:numPr>
          <w:ilvl w:val="0"/>
          <w:numId w:val="44"/>
        </w:numPr>
        <w:rPr>
          <w:i/>
          <w:lang w:val="en-US" w:eastAsia="zh-CN"/>
        </w:rPr>
      </w:pPr>
      <w:r w:rsidRPr="003F5774">
        <w:rPr>
          <w:i/>
          <w:lang w:val="en-US" w:eastAsia="zh-CN"/>
        </w:rPr>
        <w:t xml:space="preserve">Selection of CA configuration(s) and CBW combination </w:t>
      </w:r>
    </w:p>
    <w:p w14:paraId="46E5EB7B" w14:textId="77777777" w:rsidR="00C21F01" w:rsidRPr="003F5774" w:rsidRDefault="003F5774" w:rsidP="003F5774">
      <w:pPr>
        <w:numPr>
          <w:ilvl w:val="1"/>
          <w:numId w:val="44"/>
        </w:numPr>
        <w:tabs>
          <w:tab w:val="num" w:pos="1440"/>
        </w:tabs>
        <w:rPr>
          <w:i/>
          <w:lang w:val="en-US" w:eastAsia="zh-CN"/>
        </w:rPr>
      </w:pPr>
      <w:r w:rsidRPr="003F5774">
        <w:rPr>
          <w:i/>
          <w:lang w:val="en-US" w:eastAsia="zh-CN"/>
        </w:rPr>
        <w:t>Further discuss by taking into account:</w:t>
      </w:r>
    </w:p>
    <w:p w14:paraId="7D87983C" w14:textId="77777777" w:rsidR="00C21F01" w:rsidRPr="003F5774" w:rsidRDefault="003F5774" w:rsidP="003F5774">
      <w:pPr>
        <w:numPr>
          <w:ilvl w:val="2"/>
          <w:numId w:val="44"/>
        </w:numPr>
        <w:tabs>
          <w:tab w:val="num" w:pos="2160"/>
        </w:tabs>
        <w:rPr>
          <w:i/>
          <w:lang w:val="en-US" w:eastAsia="zh-CN"/>
        </w:rPr>
      </w:pPr>
      <w:r w:rsidRPr="003F5774">
        <w:rPr>
          <w:i/>
          <w:lang w:val="en-US" w:eastAsia="zh-CN"/>
        </w:rPr>
        <w:t xml:space="preserve">The </w:t>
      </w:r>
      <w:r w:rsidRPr="003F5774">
        <w:rPr>
          <w:i/>
          <w:iCs/>
          <w:lang w:val="en-US" w:eastAsia="zh-CN"/>
        </w:rPr>
        <w:t>supportedSubCarrierSpacingDL</w:t>
      </w:r>
      <w:r w:rsidRPr="003F5774">
        <w:rPr>
          <w:i/>
          <w:lang w:val="en-US" w:eastAsia="zh-CN"/>
        </w:rPr>
        <w:t xml:space="preserve">, </w:t>
      </w:r>
      <w:r w:rsidRPr="003F5774">
        <w:rPr>
          <w:i/>
          <w:iCs/>
          <w:lang w:val="en-US" w:eastAsia="zh-CN"/>
        </w:rPr>
        <w:t>maxNumberMIMO-LayersPDSCH</w:t>
      </w:r>
      <w:r w:rsidRPr="003F5774">
        <w:rPr>
          <w:i/>
          <w:lang w:val="en-US" w:eastAsia="zh-CN"/>
        </w:rPr>
        <w:t xml:space="preserve"> and  </w:t>
      </w:r>
      <w:r w:rsidRPr="003F5774">
        <w:rPr>
          <w:i/>
          <w:iCs/>
          <w:lang w:val="en-US" w:eastAsia="zh-CN"/>
        </w:rPr>
        <w:t>supportedModulationOrderDL</w:t>
      </w:r>
      <w:r w:rsidRPr="003F5774">
        <w:rPr>
          <w:i/>
          <w:lang w:val="en-US" w:eastAsia="zh-CN"/>
        </w:rPr>
        <w:t xml:space="preserve"> are reported for each CC and </w:t>
      </w:r>
      <w:r w:rsidRPr="003F5774">
        <w:rPr>
          <w:i/>
          <w:iCs/>
          <w:lang w:val="en-US" w:eastAsia="zh-CN"/>
        </w:rPr>
        <w:t>scalingFactor</w:t>
      </w:r>
      <w:r w:rsidRPr="003F5774">
        <w:rPr>
          <w:i/>
          <w:lang w:val="en-US" w:eastAsia="zh-CN"/>
        </w:rPr>
        <w:t xml:space="preserve"> are reported per band for FR1 and FR2.</w:t>
      </w:r>
    </w:p>
    <w:p w14:paraId="55E82BBC" w14:textId="77777777" w:rsidR="00C21F01" w:rsidRPr="003F5774" w:rsidRDefault="003F5774" w:rsidP="003F5774">
      <w:pPr>
        <w:numPr>
          <w:ilvl w:val="2"/>
          <w:numId w:val="44"/>
        </w:numPr>
        <w:tabs>
          <w:tab w:val="num" w:pos="2160"/>
        </w:tabs>
        <w:rPr>
          <w:i/>
          <w:lang w:val="en-US" w:eastAsia="zh-CN"/>
        </w:rPr>
      </w:pPr>
      <w:r w:rsidRPr="003F5774">
        <w:rPr>
          <w:i/>
          <w:lang w:val="en-US" w:eastAsia="zh-CN"/>
        </w:rPr>
        <w:t xml:space="preserve">The testable SNR for FR2. </w:t>
      </w:r>
    </w:p>
    <w:p w14:paraId="46E2A18A" w14:textId="77777777" w:rsidR="003F5774" w:rsidRDefault="003F5774" w:rsidP="000605B5">
      <w:pPr>
        <w:rPr>
          <w:lang w:val="en-US" w:eastAsia="zh-CN"/>
        </w:rPr>
      </w:pPr>
    </w:p>
    <w:p w14:paraId="7F5C0797" w14:textId="77777777" w:rsidR="003F5774" w:rsidRPr="003F5774" w:rsidRDefault="003F5774" w:rsidP="003F5774">
      <w:pPr>
        <w:pStyle w:val="PL"/>
        <w:rPr>
          <w:rFonts w:ascii="Times New Roman" w:eastAsia="宋体" w:hAnsi="Times New Roman"/>
          <w:noProof w:val="0"/>
          <w:sz w:val="20"/>
          <w:lang w:val="en-US" w:eastAsia="zh-CN"/>
        </w:rPr>
      </w:pPr>
      <w:r w:rsidRPr="003F5774">
        <w:rPr>
          <w:rFonts w:ascii="Times New Roman" w:eastAsia="宋体" w:hAnsi="Times New Roman" w:hint="eastAsia"/>
          <w:noProof w:val="0"/>
          <w:sz w:val="20"/>
          <w:lang w:val="en-US" w:eastAsia="zh-CN"/>
        </w:rPr>
        <w:t>C</w:t>
      </w:r>
      <w:r w:rsidRPr="003F5774">
        <w:rPr>
          <w:rFonts w:ascii="Times New Roman" w:eastAsia="宋体" w:hAnsi="Times New Roman"/>
          <w:noProof w:val="0"/>
          <w:sz w:val="20"/>
          <w:lang w:val="en-US" w:eastAsia="zh-CN"/>
        </w:rPr>
        <w:t>ore specification TS 38.331 defines the following UE capabilties:</w:t>
      </w:r>
    </w:p>
    <w:p w14:paraId="089C319B" w14:textId="77777777" w:rsidR="003F5774" w:rsidRPr="00C21F01" w:rsidRDefault="003F5774" w:rsidP="003F5774">
      <w:pPr>
        <w:pStyle w:val="PL"/>
        <w:rPr>
          <w:rFonts w:eastAsia="宋体" w:hint="eastAsia"/>
          <w:lang w:eastAsia="zh-CN"/>
        </w:rPr>
      </w:pPr>
    </w:p>
    <w:p w14:paraId="6B27C3A0" w14:textId="77777777" w:rsidR="003F5774" w:rsidRPr="008F2CE4" w:rsidRDefault="003F5774" w:rsidP="003F5774">
      <w:pPr>
        <w:pStyle w:val="PL"/>
      </w:pPr>
      <w:bookmarkStart w:id="4" w:name="_Hlk2858224"/>
      <w:r w:rsidRPr="008F2CE4">
        <w:t>FeatureSetDownlink</w:t>
      </w:r>
      <w:r w:rsidRPr="003F5774">
        <w:rPr>
          <w:highlight w:val="yellow"/>
        </w:rPr>
        <w:t>PerCC</w:t>
      </w:r>
      <w:r w:rsidRPr="008F2CE4">
        <w:t xml:space="preserve"> ::=         </w:t>
      </w:r>
      <w:r w:rsidRPr="008F2CE4">
        <w:rPr>
          <w:color w:val="993366"/>
        </w:rPr>
        <w:t>SEQUENCE</w:t>
      </w:r>
      <w:r w:rsidRPr="008F2CE4">
        <w:t xml:space="preserve"> {</w:t>
      </w:r>
    </w:p>
    <w:p w14:paraId="6F88B36E" w14:textId="77777777" w:rsidR="003F5774" w:rsidRPr="008F2CE4" w:rsidRDefault="003F5774" w:rsidP="003F5774">
      <w:pPr>
        <w:pStyle w:val="PL"/>
      </w:pPr>
      <w:r w:rsidRPr="008F2CE4">
        <w:t xml:space="preserve">    </w:t>
      </w:r>
      <w:r w:rsidRPr="003F5774">
        <w:rPr>
          <w:highlight w:val="yellow"/>
        </w:rPr>
        <w:t>supportedSubcarrierSpacingDL</w:t>
      </w:r>
      <w:r w:rsidRPr="008F2CE4">
        <w:t xml:space="preserve">        SubcarrierSpacing,</w:t>
      </w:r>
    </w:p>
    <w:p w14:paraId="6A5868C9" w14:textId="77777777" w:rsidR="003F5774" w:rsidRPr="008F2CE4" w:rsidRDefault="003F5774" w:rsidP="003F5774">
      <w:pPr>
        <w:pStyle w:val="PL"/>
      </w:pPr>
      <w:r w:rsidRPr="008F2CE4">
        <w:t xml:space="preserve">    </w:t>
      </w:r>
      <w:r w:rsidRPr="003F5774">
        <w:rPr>
          <w:highlight w:val="yellow"/>
        </w:rPr>
        <w:t>supportedBandwidthDL</w:t>
      </w:r>
      <w:r w:rsidRPr="008F2CE4">
        <w:t xml:space="preserve">                SupportedBandwidth,</w:t>
      </w:r>
    </w:p>
    <w:p w14:paraId="5CB8E187" w14:textId="77777777" w:rsidR="003F5774" w:rsidRPr="008F2CE4" w:rsidRDefault="003F5774" w:rsidP="003F5774">
      <w:pPr>
        <w:pStyle w:val="PL"/>
      </w:pPr>
      <w:r w:rsidRPr="008F2CE4">
        <w:t xml:space="preserve">    channelBW-90mhz                     </w:t>
      </w:r>
      <w:r w:rsidRPr="008F2CE4">
        <w:rPr>
          <w:color w:val="993366"/>
        </w:rPr>
        <w:t>ENUMERATED</w:t>
      </w:r>
      <w:r w:rsidRPr="008F2CE4">
        <w:t xml:space="preserve"> {supported}                      </w:t>
      </w:r>
      <w:r w:rsidRPr="008F2CE4">
        <w:rPr>
          <w:color w:val="993366"/>
        </w:rPr>
        <w:t>OPTIONAL</w:t>
      </w:r>
      <w:r w:rsidRPr="008F2CE4">
        <w:t>,</w:t>
      </w:r>
    </w:p>
    <w:p w14:paraId="3BB0D135" w14:textId="77777777" w:rsidR="003F5774" w:rsidRPr="008F2CE4" w:rsidRDefault="003F5774" w:rsidP="003F5774">
      <w:pPr>
        <w:pStyle w:val="PL"/>
      </w:pPr>
      <w:r w:rsidRPr="008F2CE4">
        <w:t xml:space="preserve">    </w:t>
      </w:r>
      <w:r w:rsidRPr="003F5774">
        <w:rPr>
          <w:highlight w:val="yellow"/>
        </w:rPr>
        <w:t>maxNumberMIMO-LayersPDSCH</w:t>
      </w:r>
      <w:r w:rsidRPr="008F2CE4">
        <w:t xml:space="preserve">           MIMO-LayersDL                               </w:t>
      </w:r>
      <w:r w:rsidRPr="008F2CE4">
        <w:rPr>
          <w:color w:val="993366"/>
        </w:rPr>
        <w:t>OPTIONAL</w:t>
      </w:r>
      <w:r w:rsidRPr="008F2CE4">
        <w:t>,</w:t>
      </w:r>
    </w:p>
    <w:p w14:paraId="0956BDF1" w14:textId="77777777" w:rsidR="003F5774" w:rsidRPr="008F2CE4" w:rsidRDefault="003F5774" w:rsidP="003F5774">
      <w:pPr>
        <w:pStyle w:val="PL"/>
      </w:pPr>
      <w:r w:rsidRPr="008F2CE4">
        <w:t xml:space="preserve">    </w:t>
      </w:r>
      <w:r w:rsidRPr="003F5774">
        <w:rPr>
          <w:highlight w:val="yellow"/>
        </w:rPr>
        <w:t>supportedModulationOrderDL</w:t>
      </w:r>
      <w:r w:rsidRPr="008F2CE4">
        <w:t xml:space="preserve">          ModulationOrder                             </w:t>
      </w:r>
      <w:r w:rsidRPr="008F2CE4">
        <w:rPr>
          <w:color w:val="993366"/>
        </w:rPr>
        <w:t>OPTIONAL</w:t>
      </w:r>
    </w:p>
    <w:p w14:paraId="5FC1784D" w14:textId="77777777" w:rsidR="003F5774" w:rsidRPr="008F2CE4" w:rsidRDefault="003F5774" w:rsidP="003F5774">
      <w:pPr>
        <w:pStyle w:val="PL"/>
      </w:pPr>
      <w:r w:rsidRPr="008F2CE4">
        <w:t>}</w:t>
      </w:r>
    </w:p>
    <w:p w14:paraId="1C311331" w14:textId="77777777" w:rsidR="003F5774" w:rsidRPr="008F2CE4" w:rsidRDefault="003F5774" w:rsidP="003F5774">
      <w:pPr>
        <w:pStyle w:val="PL"/>
      </w:pPr>
    </w:p>
    <w:bookmarkEnd w:id="4"/>
    <w:p w14:paraId="21BA03E3" w14:textId="77777777" w:rsidR="003F5774" w:rsidRPr="00AC1022" w:rsidRDefault="003F5774" w:rsidP="003F5774">
      <w:pPr>
        <w:pStyle w:val="PL"/>
        <w:rPr>
          <w:rFonts w:eastAsia="宋体" w:hint="eastAsia"/>
          <w:color w:val="808080"/>
          <w:lang w:eastAsia="zh-CN"/>
        </w:rPr>
      </w:pPr>
    </w:p>
    <w:p w14:paraId="7833E112" w14:textId="77777777" w:rsidR="00F91093" w:rsidRDefault="00F91093" w:rsidP="000605B5">
      <w:pPr>
        <w:rPr>
          <w:lang w:val="en-US" w:eastAsia="zh-CN"/>
        </w:rPr>
      </w:pPr>
      <w:r>
        <w:rPr>
          <w:lang w:val="en-US" w:eastAsia="zh-CN"/>
        </w:rPr>
        <w:t xml:space="preserve">The set of NR UE capabilities </w:t>
      </w:r>
      <w:r w:rsidR="00612052">
        <w:rPr>
          <w:lang w:val="en-US" w:eastAsia="zh-CN"/>
        </w:rPr>
        <w:t xml:space="preserve">per CC </w:t>
      </w:r>
      <w:r>
        <w:rPr>
          <w:lang w:val="en-US" w:eastAsia="zh-CN"/>
        </w:rPr>
        <w:t xml:space="preserve">shown above are </w:t>
      </w:r>
      <w:r w:rsidR="00532535">
        <w:rPr>
          <w:lang w:val="en-US" w:eastAsia="zh-CN"/>
        </w:rPr>
        <w:t>considered in NR Rel-15 CA SDR tests to find the maximum data rate supported by UE. For NR normal CA performance requirements, the supported subcarrier spacing is reflected to select the correct set of tests</w:t>
      </w:r>
      <w:r w:rsidR="00B23C6C">
        <w:rPr>
          <w:lang w:val="en-US" w:eastAsia="zh-CN"/>
        </w:rPr>
        <w:t xml:space="preserve"> as discussed in section 2.1 for PCell configuration for the test</w:t>
      </w:r>
      <w:r w:rsidR="00532535">
        <w:rPr>
          <w:lang w:val="en-US" w:eastAsia="zh-CN"/>
        </w:rPr>
        <w:t xml:space="preserve">, specific MIMO layer and MCS are included in the performance requirements, the </w:t>
      </w:r>
      <w:r w:rsidR="00B23C6C">
        <w:rPr>
          <w:lang w:val="en-US" w:eastAsia="zh-CN"/>
        </w:rPr>
        <w:t xml:space="preserve">key factors </w:t>
      </w:r>
      <w:r w:rsidR="00532535">
        <w:rPr>
          <w:lang w:val="en-US" w:eastAsia="zh-CN"/>
        </w:rPr>
        <w:t>n</w:t>
      </w:r>
      <w:r w:rsidR="00405C20">
        <w:rPr>
          <w:lang w:val="en-US" w:eastAsia="zh-CN"/>
        </w:rPr>
        <w:t xml:space="preserve">eed to </w:t>
      </w:r>
      <w:r w:rsidR="00B23C6C">
        <w:rPr>
          <w:lang w:val="en-US" w:eastAsia="zh-CN"/>
        </w:rPr>
        <w:t xml:space="preserve">be </w:t>
      </w:r>
      <w:r w:rsidR="00405C20">
        <w:rPr>
          <w:lang w:val="en-US" w:eastAsia="zh-CN"/>
        </w:rPr>
        <w:t>consider</w:t>
      </w:r>
      <w:r w:rsidR="00B23C6C">
        <w:rPr>
          <w:lang w:val="en-US" w:eastAsia="zh-CN"/>
        </w:rPr>
        <w:t>ed for CA</w:t>
      </w:r>
      <w:r w:rsidR="00405C20">
        <w:rPr>
          <w:lang w:val="en-US" w:eastAsia="zh-CN"/>
        </w:rPr>
        <w:t xml:space="preserve"> is the largest CA bandwidth combination </w:t>
      </w:r>
      <w:r w:rsidR="00B23C6C">
        <w:rPr>
          <w:lang w:val="en-US" w:eastAsia="zh-CN"/>
        </w:rPr>
        <w:t>supported for a given SCS</w:t>
      </w:r>
      <w:r w:rsidR="00405C20" w:rsidRPr="00405C20">
        <w:rPr>
          <w:lang w:val="en-US" w:eastAsia="zh-CN"/>
        </w:rPr>
        <w:t xml:space="preserve"> within a single CC</w:t>
      </w:r>
      <w:r w:rsidR="00B23C6C">
        <w:rPr>
          <w:lang w:val="en-US" w:eastAsia="zh-CN"/>
        </w:rPr>
        <w:t xml:space="preserve"> and the number of CC</w:t>
      </w:r>
      <w:r w:rsidR="00405C20">
        <w:rPr>
          <w:lang w:val="en-US" w:eastAsia="zh-CN"/>
        </w:rPr>
        <w:t>, so from our point of view, following LTE logic to select the CA with the largest CA bandwidth combination for different number of CA capabilities, additionally considering the largest number of aggregated CC or bands for intra-band contiguous/non-contiguous CA and inter-band CA respectively.</w:t>
      </w:r>
    </w:p>
    <w:p w14:paraId="794E65EC" w14:textId="77777777" w:rsidR="000605B5" w:rsidRPr="004A3771" w:rsidRDefault="00876C61" w:rsidP="000605B5">
      <w:pPr>
        <w:rPr>
          <w:lang w:val="en-US" w:eastAsia="zh-CN"/>
        </w:rPr>
      </w:pPr>
      <w:r>
        <w:rPr>
          <w:lang w:val="en-US" w:eastAsia="zh-CN"/>
        </w:rPr>
        <w:t xml:space="preserve">In a summary, we </w:t>
      </w:r>
      <w:r w:rsidR="00CD2511">
        <w:rPr>
          <w:lang w:val="en-US" w:eastAsia="zh-CN"/>
        </w:rPr>
        <w:t>propose</w:t>
      </w:r>
      <w:r>
        <w:rPr>
          <w:lang w:val="en-US" w:eastAsia="zh-CN"/>
        </w:rPr>
        <w:t xml:space="preserve"> the following test applicability rule for NR UE CA </w:t>
      </w:r>
      <w:r w:rsidR="003A7807">
        <w:rPr>
          <w:lang w:val="en-US" w:eastAsia="zh-CN"/>
        </w:rPr>
        <w:t xml:space="preserve">normal </w:t>
      </w:r>
      <w:r>
        <w:rPr>
          <w:lang w:val="en-US" w:eastAsia="zh-CN"/>
        </w:rPr>
        <w:t>performance requirements:</w:t>
      </w:r>
    </w:p>
    <w:p w14:paraId="4FA90EA3" w14:textId="77777777" w:rsidR="00472CD6" w:rsidRDefault="000605B5" w:rsidP="00C30F44">
      <w:pPr>
        <w:rPr>
          <w:b/>
          <w:lang w:val="en-US" w:eastAsia="zh-CN"/>
        </w:rPr>
      </w:pPr>
      <w:r w:rsidRPr="005B2AF3">
        <w:rPr>
          <w:b/>
          <w:lang w:val="en-US" w:eastAsia="zh-CN"/>
        </w:rPr>
        <w:t xml:space="preserve">Proposal </w:t>
      </w:r>
      <w:r w:rsidR="00B03B58">
        <w:rPr>
          <w:b/>
          <w:lang w:val="en-US" w:eastAsia="zh-CN"/>
        </w:rPr>
        <w:t>6</w:t>
      </w:r>
      <w:r w:rsidRPr="005B2AF3">
        <w:rPr>
          <w:b/>
          <w:lang w:val="en-US" w:eastAsia="zh-CN"/>
        </w:rPr>
        <w:t>:</w:t>
      </w:r>
      <w:r w:rsidR="00C30F44">
        <w:rPr>
          <w:b/>
          <w:lang w:val="en-US" w:eastAsia="zh-CN"/>
        </w:rPr>
        <w:t xml:space="preserve"> Adopt the following test applicability rule for s</w:t>
      </w:r>
      <w:r w:rsidR="00405C20" w:rsidRPr="00C30F44">
        <w:rPr>
          <w:b/>
          <w:lang w:val="en-US" w:eastAsia="zh-CN"/>
        </w:rPr>
        <w:t>election of CA configurations and CBW combination</w:t>
      </w:r>
      <w:r w:rsidR="00C30F44" w:rsidRPr="00C30F44">
        <w:rPr>
          <w:b/>
          <w:lang w:val="en-US" w:eastAsia="zh-CN"/>
        </w:rPr>
        <w:t xml:space="preserve"> for test</w:t>
      </w:r>
      <w:r w:rsidR="00472CD6" w:rsidRPr="00C30F44">
        <w:rPr>
          <w:b/>
          <w:lang w:val="en-US" w:eastAsia="zh-CN"/>
        </w:rPr>
        <w:t>:</w:t>
      </w:r>
      <w:r w:rsidR="00472CD6">
        <w:rPr>
          <w:b/>
          <w:lang w:val="en-US" w:eastAsia="zh-CN"/>
        </w:rPr>
        <w:t xml:space="preserve"> </w:t>
      </w:r>
    </w:p>
    <w:p w14:paraId="23A35F74" w14:textId="77777777" w:rsidR="004A3771" w:rsidRDefault="002C1647" w:rsidP="002C1647">
      <w:pPr>
        <w:numPr>
          <w:ilvl w:val="1"/>
          <w:numId w:val="13"/>
        </w:numPr>
        <w:rPr>
          <w:b/>
          <w:lang w:val="en-US" w:eastAsia="zh-CN"/>
        </w:rPr>
      </w:pPr>
      <w:r>
        <w:rPr>
          <w:b/>
          <w:lang w:val="en-US" w:eastAsia="zh-CN"/>
        </w:rPr>
        <w:t>F</w:t>
      </w:r>
      <w:r>
        <w:rPr>
          <w:rFonts w:hint="eastAsia"/>
          <w:b/>
          <w:lang w:val="en-US" w:eastAsia="zh-CN"/>
        </w:rPr>
        <w:t>or intra-band contiguous CA</w:t>
      </w:r>
      <w:r w:rsidR="004C08C2">
        <w:rPr>
          <w:b/>
          <w:lang w:val="en-US" w:eastAsia="zh-CN"/>
        </w:rPr>
        <w:t xml:space="preserve"> and</w:t>
      </w:r>
      <w:r>
        <w:rPr>
          <w:rFonts w:hint="eastAsia"/>
          <w:b/>
          <w:lang w:val="en-US" w:eastAsia="zh-CN"/>
        </w:rPr>
        <w:t xml:space="preserve"> intra-band non-contiguous CA</w:t>
      </w:r>
      <w:r w:rsidR="00E4411E">
        <w:rPr>
          <w:b/>
          <w:lang w:val="en-US" w:eastAsia="zh-CN"/>
        </w:rPr>
        <w:t xml:space="preserve"> with same numerology</w:t>
      </w:r>
      <w:r w:rsidR="00424917">
        <w:rPr>
          <w:b/>
          <w:lang w:val="en-US" w:eastAsia="zh-CN"/>
        </w:rPr>
        <w:t>, for each supported SCS</w:t>
      </w:r>
    </w:p>
    <w:p w14:paraId="4D91AF9E" w14:textId="77777777" w:rsidR="002C1647" w:rsidRDefault="00424917" w:rsidP="002C1647">
      <w:pPr>
        <w:numPr>
          <w:ilvl w:val="2"/>
          <w:numId w:val="13"/>
        </w:numPr>
        <w:rPr>
          <w:b/>
          <w:lang w:val="en-US" w:eastAsia="zh-CN"/>
        </w:rPr>
      </w:pPr>
      <w:r>
        <w:rPr>
          <w:b/>
          <w:lang w:val="en-US" w:eastAsia="zh-CN"/>
        </w:rPr>
        <w:t>S</w:t>
      </w:r>
      <w:r w:rsidR="002C1647">
        <w:rPr>
          <w:b/>
          <w:lang w:val="en-US" w:eastAsia="zh-CN"/>
        </w:rPr>
        <w:t xml:space="preserve">elect any one of the supported CA configurations with the largest aggregated CA bandwidth combination </w:t>
      </w:r>
      <w:r w:rsidR="003A7807">
        <w:rPr>
          <w:b/>
          <w:lang w:val="en-US" w:eastAsia="zh-CN"/>
        </w:rPr>
        <w:t>for certain selected CA duplex mode</w:t>
      </w:r>
    </w:p>
    <w:p w14:paraId="690B2F5D" w14:textId="77777777" w:rsidR="002C1647" w:rsidRDefault="002C1647" w:rsidP="002C1647">
      <w:pPr>
        <w:numPr>
          <w:ilvl w:val="2"/>
          <w:numId w:val="13"/>
        </w:numPr>
        <w:rPr>
          <w:b/>
          <w:lang w:val="en-US" w:eastAsia="zh-CN"/>
        </w:rPr>
      </w:pPr>
      <w:r>
        <w:rPr>
          <w:b/>
          <w:lang w:val="en-US" w:eastAsia="zh-CN"/>
        </w:rPr>
        <w:t xml:space="preserve">If more than one CA configurations with the same largest aggregated CA bandwidth combination, select the CA configurations with </w:t>
      </w:r>
      <w:r w:rsidR="00F53D67">
        <w:rPr>
          <w:b/>
          <w:lang w:val="en-US" w:eastAsia="zh-CN"/>
        </w:rPr>
        <w:t xml:space="preserve">the </w:t>
      </w:r>
      <w:r>
        <w:rPr>
          <w:b/>
          <w:lang w:val="en-US" w:eastAsia="zh-CN"/>
        </w:rPr>
        <w:t>largest number of CCs</w:t>
      </w:r>
    </w:p>
    <w:p w14:paraId="6D25035C" w14:textId="77777777" w:rsidR="00E4411E" w:rsidRDefault="00E4411E" w:rsidP="00E4411E">
      <w:pPr>
        <w:numPr>
          <w:ilvl w:val="1"/>
          <w:numId w:val="13"/>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different numerology</w:t>
      </w:r>
      <w:r w:rsidR="00424917">
        <w:rPr>
          <w:b/>
          <w:lang w:val="en-US" w:eastAsia="zh-CN"/>
        </w:rPr>
        <w:t>, as per the PCell configuration for the test</w:t>
      </w:r>
    </w:p>
    <w:p w14:paraId="3FFED4F0" w14:textId="77777777" w:rsidR="00E4411E" w:rsidRDefault="00E4411E" w:rsidP="00E4411E">
      <w:pPr>
        <w:numPr>
          <w:ilvl w:val="2"/>
          <w:numId w:val="13"/>
        </w:numPr>
        <w:rPr>
          <w:b/>
          <w:lang w:val="en-US" w:eastAsia="zh-CN"/>
        </w:rPr>
      </w:pPr>
      <w:r>
        <w:rPr>
          <w:b/>
          <w:lang w:val="en-US" w:eastAsia="zh-CN"/>
        </w:rPr>
        <w:t>Select any one of the supported CA configurations with the largest aggregated CA bandwidth combination for certain selected CA duplex mode</w:t>
      </w:r>
    </w:p>
    <w:p w14:paraId="2E3BC00C" w14:textId="77777777" w:rsidR="00E4411E" w:rsidRDefault="00E4411E" w:rsidP="00E4411E">
      <w:pPr>
        <w:numPr>
          <w:ilvl w:val="2"/>
          <w:numId w:val="13"/>
        </w:numPr>
        <w:rPr>
          <w:b/>
          <w:lang w:val="en-US" w:eastAsia="zh-CN"/>
        </w:rPr>
      </w:pPr>
      <w:r>
        <w:rPr>
          <w:b/>
          <w:lang w:val="en-US" w:eastAsia="zh-CN"/>
        </w:rPr>
        <w:t>If more than one CA configurations with the same largest aggregated CA bandwidth combination, select the CA configurations with the largest number of CCs</w:t>
      </w:r>
    </w:p>
    <w:p w14:paraId="4543636D" w14:textId="77777777" w:rsidR="004C08C2" w:rsidRDefault="004C08C2" w:rsidP="004C08C2">
      <w:pPr>
        <w:numPr>
          <w:ilvl w:val="1"/>
          <w:numId w:val="13"/>
        </w:numPr>
        <w:rPr>
          <w:b/>
          <w:lang w:val="en-US" w:eastAsia="zh-CN"/>
        </w:rPr>
      </w:pPr>
      <w:r>
        <w:rPr>
          <w:b/>
          <w:lang w:val="en-US" w:eastAsia="zh-CN"/>
        </w:rPr>
        <w:t>F</w:t>
      </w:r>
      <w:r>
        <w:rPr>
          <w:rFonts w:hint="eastAsia"/>
          <w:b/>
          <w:lang w:val="en-US" w:eastAsia="zh-CN"/>
        </w:rPr>
        <w:t>or inter-band CA</w:t>
      </w:r>
      <w:r w:rsidR="00080851">
        <w:rPr>
          <w:b/>
          <w:lang w:val="en-US" w:eastAsia="zh-CN"/>
        </w:rPr>
        <w:t>, as per the PCell configuration for the test</w:t>
      </w:r>
    </w:p>
    <w:p w14:paraId="454A28FC" w14:textId="77777777" w:rsidR="00205CD4" w:rsidRPr="00405C20" w:rsidRDefault="004C08C2" w:rsidP="00405C20">
      <w:pPr>
        <w:numPr>
          <w:ilvl w:val="2"/>
          <w:numId w:val="13"/>
        </w:numPr>
        <w:rPr>
          <w:rFonts w:hint="eastAsia"/>
          <w:b/>
          <w:lang w:val="en-US" w:eastAsia="zh-CN"/>
        </w:rPr>
      </w:pPr>
      <w:r w:rsidRPr="004C08C2">
        <w:rPr>
          <w:b/>
          <w:lang w:val="en-US" w:eastAsia="zh-CN"/>
        </w:rPr>
        <w:t>Select any one of the supported CA configurations with the largest number of bands a</w:t>
      </w:r>
      <w:r>
        <w:rPr>
          <w:b/>
          <w:lang w:val="en-US" w:eastAsia="zh-CN"/>
        </w:rPr>
        <w:t>ggregated</w:t>
      </w:r>
    </w:p>
    <w:bookmarkEnd w:id="1"/>
    <w:bookmarkEnd w:id="2"/>
    <w:p w14:paraId="491323F6" w14:textId="77777777" w:rsidR="00326166" w:rsidRPr="000A4C5A" w:rsidRDefault="004A2817" w:rsidP="001A1F92">
      <w:pPr>
        <w:pStyle w:val="1"/>
        <w:rPr>
          <w:rFonts w:eastAsia="宋体" w:hint="eastAsia"/>
          <w:lang w:eastAsia="zh-CN"/>
        </w:rPr>
      </w:pPr>
      <w:r>
        <w:rPr>
          <w:rFonts w:eastAsia="宋体" w:hint="eastAsia"/>
          <w:lang w:eastAsia="zh-CN"/>
        </w:rPr>
        <w:lastRenderedPageBreak/>
        <w:t>Proposals</w:t>
      </w:r>
    </w:p>
    <w:p w14:paraId="7E577B17" w14:textId="77777777" w:rsidR="00492450" w:rsidRDefault="00492450" w:rsidP="00492450">
      <w:pPr>
        <w:rPr>
          <w:lang w:val="en-US" w:eastAsia="zh-CN"/>
        </w:rPr>
      </w:pPr>
      <w:r>
        <w:rPr>
          <w:rFonts w:hint="eastAsia"/>
          <w:lang w:val="en-US" w:eastAsia="zh-CN"/>
        </w:rPr>
        <w:t xml:space="preserve">In this contribution, we </w:t>
      </w:r>
      <w:r w:rsidR="00276D1E">
        <w:rPr>
          <w:lang w:val="en-US" w:eastAsia="zh-CN"/>
        </w:rPr>
        <w:t xml:space="preserve">further </w:t>
      </w:r>
      <w:r w:rsidR="00BA723B">
        <w:rPr>
          <w:lang w:val="en-US" w:eastAsia="zh-CN"/>
        </w:rPr>
        <w:t xml:space="preserve">share our views on those open issues for NR CA </w:t>
      </w:r>
      <w:r w:rsidR="00B72EEF">
        <w:rPr>
          <w:lang w:val="en-US" w:eastAsia="zh-CN"/>
        </w:rPr>
        <w:t>normal performance requirements</w:t>
      </w:r>
      <w:r w:rsidR="00390F43">
        <w:rPr>
          <w:lang w:val="en-US" w:eastAsia="zh-CN"/>
        </w:rPr>
        <w:t>, and</w:t>
      </w:r>
      <w:r w:rsidR="00276D1E">
        <w:rPr>
          <w:lang w:val="en-US" w:eastAsia="zh-CN"/>
        </w:rPr>
        <w:t xml:space="preserve"> our observations and proposals are:</w:t>
      </w:r>
    </w:p>
    <w:p w14:paraId="7D1A22AE" w14:textId="77777777" w:rsidR="00141B2B" w:rsidRDefault="00141B2B" w:rsidP="00141B2B">
      <w:pPr>
        <w:rPr>
          <w:b/>
          <w:lang w:val="en-US" w:eastAsia="zh-CN"/>
        </w:rPr>
      </w:pPr>
      <w:r>
        <w:rPr>
          <w:rFonts w:hint="eastAsia"/>
          <w:b/>
          <w:lang w:val="en-US" w:eastAsia="zh-CN"/>
        </w:rPr>
        <w:t>O</w:t>
      </w:r>
      <w:r>
        <w:rPr>
          <w:b/>
          <w:lang w:val="en-US" w:eastAsia="zh-CN"/>
        </w:rPr>
        <w:t>bservation 1: No performance impact by scheduling the initial transmission and retransmission in different types of slots.</w:t>
      </w:r>
    </w:p>
    <w:p w14:paraId="6EB15AD4" w14:textId="77777777" w:rsidR="00463EDC" w:rsidRPr="00E17E29" w:rsidRDefault="00463EDC" w:rsidP="00463EDC">
      <w:pPr>
        <w:rPr>
          <w:b/>
          <w:lang w:eastAsia="zh-CN"/>
        </w:rPr>
      </w:pPr>
      <w:r w:rsidRPr="00E17E29">
        <w:rPr>
          <w:b/>
          <w:lang w:eastAsia="zh-CN"/>
        </w:rPr>
        <w:t xml:space="preserve">Observation 2: No </w:t>
      </w:r>
      <w:r>
        <w:rPr>
          <w:b/>
          <w:lang w:eastAsia="zh-CN"/>
        </w:rPr>
        <w:t>further specification maintenance is needed for Option 2</w:t>
      </w:r>
      <w:r w:rsidRPr="00E17E29">
        <w:rPr>
          <w:b/>
          <w:lang w:eastAsia="zh-CN"/>
        </w:rPr>
        <w:t xml:space="preserve">. </w:t>
      </w:r>
    </w:p>
    <w:p w14:paraId="24F66D54" w14:textId="77777777" w:rsidR="00276D1E" w:rsidRDefault="00276D1E" w:rsidP="00492450">
      <w:pPr>
        <w:rPr>
          <w:lang w:eastAsia="zh-CN"/>
        </w:rPr>
      </w:pPr>
    </w:p>
    <w:p w14:paraId="1CCD022A" w14:textId="77777777" w:rsidR="004E5015" w:rsidRPr="004861D6" w:rsidRDefault="004E5015" w:rsidP="004E5015">
      <w:pPr>
        <w:rPr>
          <w:lang w:val="en-US" w:eastAsia="zh-CN"/>
        </w:rPr>
      </w:pPr>
      <w:r w:rsidRPr="00F057CF">
        <w:rPr>
          <w:b/>
          <w:lang w:val="en-US" w:eastAsia="zh-CN"/>
        </w:rPr>
        <w:t>Proposal</w:t>
      </w:r>
      <w:r>
        <w:rPr>
          <w:b/>
          <w:lang w:val="en-US" w:eastAsia="zh-CN"/>
        </w:rPr>
        <w:t xml:space="preserve"> 1</w:t>
      </w:r>
      <w:r w:rsidRPr="00F057CF">
        <w:rPr>
          <w:b/>
          <w:lang w:val="en-US" w:eastAsia="zh-CN"/>
        </w:rPr>
        <w:t>:</w:t>
      </w:r>
      <w:r w:rsidRPr="00BF1129">
        <w:rPr>
          <w:b/>
          <w:lang w:val="en-US" w:eastAsia="zh-CN"/>
        </w:rPr>
        <w:t xml:space="preserve"> </w:t>
      </w:r>
      <w:r>
        <w:rPr>
          <w:b/>
          <w:lang w:val="en-US" w:eastAsia="zh-CN"/>
        </w:rPr>
        <w:t>C</w:t>
      </w:r>
      <w:r w:rsidRPr="00BF1129">
        <w:rPr>
          <w:b/>
          <w:lang w:val="en-US" w:eastAsia="zh-CN"/>
        </w:rPr>
        <w:t xml:space="preserve">onfigure </w:t>
      </w:r>
      <w:r>
        <w:rPr>
          <w:b/>
          <w:lang w:val="en-US" w:eastAsia="zh-CN"/>
        </w:rPr>
        <w:t xml:space="preserve">TDD cell with </w:t>
      </w:r>
      <w:r w:rsidRPr="00BF1129">
        <w:rPr>
          <w:b/>
          <w:lang w:val="en-US" w:eastAsia="zh-CN"/>
        </w:rPr>
        <w:t>30</w:t>
      </w:r>
      <w:r>
        <w:rPr>
          <w:b/>
          <w:lang w:val="en-US" w:eastAsia="zh-CN"/>
        </w:rPr>
        <w:t xml:space="preserve"> </w:t>
      </w:r>
      <w:r w:rsidRPr="00BF1129">
        <w:rPr>
          <w:b/>
          <w:lang w:val="en-US" w:eastAsia="zh-CN"/>
        </w:rPr>
        <w:t>kHz SCS as PCell in TDD 15kHz + TDD 30kHz CA</w:t>
      </w:r>
      <w:r w:rsidRPr="00F057CF">
        <w:rPr>
          <w:b/>
          <w:lang w:val="en-US" w:eastAsia="zh-CN"/>
        </w:rPr>
        <w:t>.</w:t>
      </w:r>
    </w:p>
    <w:p w14:paraId="7FD8C624" w14:textId="77777777" w:rsidR="00C133E3" w:rsidRDefault="00C133E3" w:rsidP="00BC6948">
      <w:pPr>
        <w:rPr>
          <w:b/>
          <w:lang w:val="en-US" w:eastAsia="zh-CN"/>
        </w:rPr>
      </w:pPr>
      <w:r>
        <w:rPr>
          <w:b/>
          <w:lang w:val="en-US" w:eastAsia="zh-CN"/>
        </w:rPr>
        <w:t>Proposal 2</w:t>
      </w:r>
      <w:r w:rsidRPr="007A255C">
        <w:rPr>
          <w:b/>
          <w:lang w:val="en-US" w:eastAsia="zh-CN"/>
        </w:rPr>
        <w:t>: No</w:t>
      </w:r>
      <w:r>
        <w:rPr>
          <w:b/>
          <w:lang w:val="en-US" w:eastAsia="zh-CN"/>
        </w:rPr>
        <w:t>t restrict the scheduling</w:t>
      </w:r>
      <w:r w:rsidRPr="007A255C">
        <w:rPr>
          <w:b/>
          <w:lang w:val="en-US" w:eastAsia="zh-CN"/>
        </w:rPr>
        <w:t xml:space="preserve"> on the initial transmission and retransm</w:t>
      </w:r>
      <w:r>
        <w:rPr>
          <w:b/>
          <w:lang w:val="en-US" w:eastAsia="zh-CN"/>
        </w:rPr>
        <w:t>ission on the type of TDD slots.</w:t>
      </w:r>
    </w:p>
    <w:p w14:paraId="3A365ED2" w14:textId="77777777" w:rsidR="00BC6948" w:rsidRDefault="00BC6948" w:rsidP="00BC6948">
      <w:pPr>
        <w:rPr>
          <w:b/>
          <w:lang w:val="en-US" w:eastAsia="zh-CN"/>
        </w:rPr>
      </w:pPr>
      <w:r w:rsidRPr="00B7682D">
        <w:rPr>
          <w:rFonts w:hint="eastAsia"/>
          <w:b/>
          <w:lang w:val="en-US" w:eastAsia="zh-CN"/>
        </w:rPr>
        <w:t>P</w:t>
      </w:r>
      <w:r w:rsidRPr="00B7682D">
        <w:rPr>
          <w:b/>
          <w:lang w:val="en-US" w:eastAsia="zh-CN"/>
        </w:rPr>
        <w:t>roposal 3: Adopt Option 1 for the K1 values definition, i.e.</w:t>
      </w:r>
    </w:p>
    <w:p w14:paraId="52E06EFC" w14:textId="53ED053E" w:rsidR="00BC6948" w:rsidRDefault="00151742" w:rsidP="00BC6948">
      <w:pPr>
        <w:rPr>
          <w:b/>
          <w:lang w:val="en-US" w:eastAsia="zh-CN"/>
        </w:rPr>
      </w:pPr>
      <w:r>
        <w:rPr>
          <w:b/>
          <w:noProof/>
          <w:lang w:val="en-US" w:eastAsia="zh-CN"/>
        </w:rPr>
        <w:drawing>
          <wp:inline distT="0" distB="0" distL="0" distR="0" wp14:anchorId="6F30AAB0" wp14:editId="22DEAF05">
            <wp:extent cx="5387975" cy="20066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7975" cy="2006600"/>
                    </a:xfrm>
                    <a:prstGeom prst="rect">
                      <a:avLst/>
                    </a:prstGeom>
                    <a:noFill/>
                  </pic:spPr>
                </pic:pic>
              </a:graphicData>
            </a:graphic>
          </wp:inline>
        </w:drawing>
      </w:r>
    </w:p>
    <w:p w14:paraId="070EAB71" w14:textId="77777777" w:rsidR="00463EDC" w:rsidRPr="00031B03" w:rsidRDefault="00463EDC" w:rsidP="00BC6948">
      <w:pPr>
        <w:rPr>
          <w:b/>
          <w:lang w:val="en-US" w:eastAsia="zh-CN"/>
        </w:rPr>
      </w:pPr>
      <w:r w:rsidRPr="00031B03">
        <w:rPr>
          <w:rFonts w:hint="eastAsia"/>
          <w:b/>
          <w:lang w:val="en-US" w:eastAsia="zh-CN"/>
        </w:rPr>
        <w:t>P</w:t>
      </w:r>
      <w:r w:rsidRPr="00031B03">
        <w:rPr>
          <w:b/>
          <w:lang w:val="en-US" w:eastAsia="zh-CN"/>
        </w:rPr>
        <w:t>roposal 4: Adopt Option 2 for CA capability definition, with definition:</w:t>
      </w:r>
    </w:p>
    <w:p w14:paraId="58D3C51F" w14:textId="77777777" w:rsidR="00463EDC" w:rsidRPr="005606F3" w:rsidRDefault="00463EDC" w:rsidP="00463EDC">
      <w:pPr>
        <w:pStyle w:val="TH"/>
      </w:pPr>
      <w:r w:rsidRPr="005606F3">
        <w:t xml:space="preserve">Table </w:t>
      </w:r>
      <w:r>
        <w:t>X2-1</w:t>
      </w:r>
      <w:r w:rsidRPr="005606F3">
        <w:t xml:space="preserve">: </w:t>
      </w:r>
      <w:r w:rsidRPr="005606F3">
        <w:rPr>
          <w:rFonts w:hint="eastAsia"/>
          <w:lang w:eastAsia="zh-CN"/>
        </w:rPr>
        <w:t>Definition of</w:t>
      </w:r>
      <w:r w:rsidRPr="005606F3">
        <w:t xml:space="preserve"> CA capability</w:t>
      </w:r>
      <w:r w:rsidRPr="005606F3">
        <w:rPr>
          <w:rFonts w:hint="eastAsia"/>
          <w:lang w:eastAsia="zh-CN"/>
        </w:rPr>
        <w:t xml:space="preserve"> </w:t>
      </w:r>
      <w:r>
        <w:rPr>
          <w:lang w:eastAsia="zh-C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63EDC" w:rsidRPr="005606F3" w14:paraId="761584F7" w14:textId="77777777" w:rsidTr="00F01FDB">
        <w:trPr>
          <w:jc w:val="center"/>
        </w:trPr>
        <w:tc>
          <w:tcPr>
            <w:tcW w:w="1232" w:type="dxa"/>
            <w:tcBorders>
              <w:top w:val="single" w:sz="4" w:space="0" w:color="auto"/>
              <w:left w:val="single" w:sz="4" w:space="0" w:color="auto"/>
              <w:bottom w:val="single" w:sz="4" w:space="0" w:color="auto"/>
              <w:right w:val="single" w:sz="4" w:space="0" w:color="auto"/>
            </w:tcBorders>
            <w:hideMark/>
          </w:tcPr>
          <w:p w14:paraId="4F3E2382" w14:textId="77777777" w:rsidR="00463EDC" w:rsidRPr="005606F3" w:rsidRDefault="00463EDC" w:rsidP="00F01FDB">
            <w:pPr>
              <w:pStyle w:val="TAH"/>
              <w:rPr>
                <w:rFonts w:cs="Arial"/>
              </w:rPr>
            </w:pPr>
            <w:r w:rsidRPr="005606F3">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DE505A0" w14:textId="77777777" w:rsidR="00463EDC" w:rsidRPr="005606F3" w:rsidRDefault="00463EDC" w:rsidP="00F01FDB">
            <w:pPr>
              <w:pStyle w:val="TAH"/>
              <w:rPr>
                <w:rFonts w:cs="Arial"/>
              </w:rPr>
            </w:pPr>
            <w:r w:rsidRPr="005606F3">
              <w:rPr>
                <w:rFonts w:cs="Arial"/>
              </w:rPr>
              <w:t>CA Capability Description</w:t>
            </w:r>
          </w:p>
        </w:tc>
      </w:tr>
      <w:tr w:rsidR="00463EDC" w:rsidRPr="005606F3" w14:paraId="18C885B7" w14:textId="77777777" w:rsidTr="00F01FDB">
        <w:trPr>
          <w:jc w:val="center"/>
        </w:trPr>
        <w:tc>
          <w:tcPr>
            <w:tcW w:w="1232" w:type="dxa"/>
            <w:tcBorders>
              <w:top w:val="single" w:sz="4" w:space="0" w:color="auto"/>
              <w:left w:val="single" w:sz="4" w:space="0" w:color="auto"/>
              <w:bottom w:val="single" w:sz="4" w:space="0" w:color="auto"/>
              <w:right w:val="single" w:sz="4" w:space="0" w:color="auto"/>
            </w:tcBorders>
            <w:hideMark/>
          </w:tcPr>
          <w:p w14:paraId="329B00A0" w14:textId="77777777" w:rsidR="00463EDC" w:rsidRPr="005606F3" w:rsidRDefault="00463EDC" w:rsidP="00F01FDB">
            <w:pPr>
              <w:pStyle w:val="TAC"/>
              <w:rPr>
                <w:rFonts w:cs="Arial"/>
              </w:rPr>
            </w:pPr>
            <w:r w:rsidRPr="005606F3">
              <w:rPr>
                <w:rFonts w:cs="Arial"/>
              </w:rPr>
              <w:t>C</w:t>
            </w:r>
            <w:r w:rsidRPr="005606F3">
              <w:rPr>
                <w:rFonts w:cs="Arial" w:hint="eastAsia"/>
                <w:lang w:eastAsia="zh-CN"/>
              </w:rPr>
              <w:t>A</w:t>
            </w:r>
            <w:r w:rsidRPr="005606F3">
              <w:rPr>
                <w:rFonts w:cs="Arial"/>
              </w:rPr>
              <w:t>_C</w:t>
            </w:r>
          </w:p>
        </w:tc>
        <w:tc>
          <w:tcPr>
            <w:tcW w:w="5768" w:type="dxa"/>
            <w:tcBorders>
              <w:top w:val="single" w:sz="4" w:space="0" w:color="auto"/>
              <w:left w:val="single" w:sz="4" w:space="0" w:color="auto"/>
              <w:bottom w:val="single" w:sz="4" w:space="0" w:color="auto"/>
              <w:right w:val="single" w:sz="4" w:space="0" w:color="auto"/>
            </w:tcBorders>
            <w:hideMark/>
          </w:tcPr>
          <w:p w14:paraId="7F73CE91" w14:textId="77777777" w:rsidR="00463EDC" w:rsidRPr="005606F3" w:rsidRDefault="00463EDC" w:rsidP="00F01FDB">
            <w:pPr>
              <w:pStyle w:val="TAC"/>
              <w:rPr>
                <w:rFonts w:cs="Arial"/>
              </w:rPr>
            </w:pPr>
            <w:r w:rsidRPr="005606F3">
              <w:rPr>
                <w:rFonts w:cs="Arial"/>
              </w:rPr>
              <w:t>Intra-band contiguous CA</w:t>
            </w:r>
          </w:p>
        </w:tc>
      </w:tr>
      <w:tr w:rsidR="00463EDC" w:rsidRPr="005606F3" w14:paraId="69DCFD90" w14:textId="77777777" w:rsidTr="00F01FDB">
        <w:trPr>
          <w:jc w:val="center"/>
        </w:trPr>
        <w:tc>
          <w:tcPr>
            <w:tcW w:w="1232" w:type="dxa"/>
            <w:tcBorders>
              <w:top w:val="single" w:sz="4" w:space="0" w:color="auto"/>
              <w:left w:val="single" w:sz="4" w:space="0" w:color="auto"/>
              <w:bottom w:val="single" w:sz="4" w:space="0" w:color="auto"/>
              <w:right w:val="single" w:sz="4" w:space="0" w:color="auto"/>
            </w:tcBorders>
            <w:hideMark/>
          </w:tcPr>
          <w:p w14:paraId="5FBE8CD4" w14:textId="77777777" w:rsidR="00463EDC" w:rsidRPr="005606F3" w:rsidRDefault="00463EDC" w:rsidP="00F01FDB">
            <w:pPr>
              <w:pStyle w:val="TAC"/>
              <w:rPr>
                <w:rFonts w:cs="Arial"/>
              </w:rPr>
            </w:pPr>
            <w:r w:rsidRPr="005606F3">
              <w:rPr>
                <w:rFonts w:cs="Arial"/>
              </w:rPr>
              <w:t>C</w:t>
            </w:r>
            <w:r w:rsidRPr="005606F3">
              <w:rPr>
                <w:rFonts w:cs="Arial" w:hint="eastAsia"/>
                <w:lang w:eastAsia="zh-CN"/>
              </w:rPr>
              <w:t>A</w:t>
            </w:r>
            <w:r>
              <w:rPr>
                <w:rFonts w:cs="Arial"/>
              </w:rPr>
              <w:t>_NC</w:t>
            </w:r>
          </w:p>
        </w:tc>
        <w:tc>
          <w:tcPr>
            <w:tcW w:w="5768" w:type="dxa"/>
            <w:tcBorders>
              <w:top w:val="single" w:sz="4" w:space="0" w:color="auto"/>
              <w:left w:val="single" w:sz="4" w:space="0" w:color="auto"/>
              <w:bottom w:val="single" w:sz="4" w:space="0" w:color="auto"/>
              <w:right w:val="single" w:sz="4" w:space="0" w:color="auto"/>
            </w:tcBorders>
            <w:hideMark/>
          </w:tcPr>
          <w:p w14:paraId="2C2D8891" w14:textId="77777777" w:rsidR="00463EDC" w:rsidRPr="005606F3" w:rsidRDefault="00463EDC" w:rsidP="00F01FDB">
            <w:pPr>
              <w:pStyle w:val="TAC"/>
              <w:rPr>
                <w:rFonts w:cs="Arial" w:hint="eastAsia"/>
                <w:lang w:eastAsia="zh-CN"/>
              </w:rPr>
            </w:pPr>
            <w:r w:rsidRPr="005606F3">
              <w:rPr>
                <w:rFonts w:cs="Arial"/>
              </w:rPr>
              <w:t>Intra-band non-contiguous CA</w:t>
            </w:r>
          </w:p>
        </w:tc>
      </w:tr>
      <w:tr w:rsidR="00463EDC" w:rsidRPr="005606F3" w14:paraId="0BBDAD05" w14:textId="77777777" w:rsidTr="00F01FDB">
        <w:trPr>
          <w:jc w:val="center"/>
        </w:trPr>
        <w:tc>
          <w:tcPr>
            <w:tcW w:w="1232" w:type="dxa"/>
            <w:tcBorders>
              <w:top w:val="single" w:sz="4" w:space="0" w:color="auto"/>
              <w:left w:val="single" w:sz="4" w:space="0" w:color="auto"/>
              <w:bottom w:val="single" w:sz="4" w:space="0" w:color="auto"/>
              <w:right w:val="single" w:sz="4" w:space="0" w:color="auto"/>
            </w:tcBorders>
          </w:tcPr>
          <w:p w14:paraId="5DF863D0" w14:textId="77777777" w:rsidR="00463EDC" w:rsidRPr="005606F3" w:rsidRDefault="00463EDC" w:rsidP="00F01FDB">
            <w:pPr>
              <w:pStyle w:val="TAC"/>
              <w:rPr>
                <w:rFonts w:cs="Arial"/>
              </w:rPr>
            </w:pPr>
            <w:r w:rsidRPr="005606F3">
              <w:rPr>
                <w:rFonts w:cs="Arial"/>
              </w:rPr>
              <w:t>C</w:t>
            </w:r>
            <w:r w:rsidRPr="005606F3">
              <w:rPr>
                <w:rFonts w:cs="Arial" w:hint="eastAsia"/>
                <w:lang w:eastAsia="zh-CN"/>
              </w:rPr>
              <w:t>A</w:t>
            </w:r>
            <w:r>
              <w:rPr>
                <w:rFonts w:cs="Arial"/>
              </w:rPr>
              <w:t>_A</w:t>
            </w:r>
          </w:p>
        </w:tc>
        <w:tc>
          <w:tcPr>
            <w:tcW w:w="5768" w:type="dxa"/>
            <w:tcBorders>
              <w:top w:val="single" w:sz="4" w:space="0" w:color="auto"/>
              <w:left w:val="single" w:sz="4" w:space="0" w:color="auto"/>
              <w:bottom w:val="single" w:sz="4" w:space="0" w:color="auto"/>
              <w:right w:val="single" w:sz="4" w:space="0" w:color="auto"/>
            </w:tcBorders>
          </w:tcPr>
          <w:p w14:paraId="1D1A0EFC" w14:textId="77777777" w:rsidR="00463EDC" w:rsidRPr="005606F3" w:rsidRDefault="00463EDC" w:rsidP="00F01FDB">
            <w:pPr>
              <w:pStyle w:val="TAC"/>
              <w:rPr>
                <w:rFonts w:cs="Arial"/>
              </w:rPr>
            </w:pPr>
            <w:r>
              <w:rPr>
                <w:rFonts w:cs="Arial"/>
              </w:rPr>
              <w:t>Inter-band CA</w:t>
            </w:r>
          </w:p>
        </w:tc>
      </w:tr>
      <w:tr w:rsidR="00463EDC" w:rsidRPr="005606F3" w14:paraId="3BD91528" w14:textId="77777777" w:rsidTr="00F01FDB">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6A359A2" w14:textId="77777777" w:rsidR="00463EDC" w:rsidRDefault="00463EDC" w:rsidP="00F01FDB">
            <w:pPr>
              <w:pStyle w:val="TAN"/>
            </w:pPr>
            <w:r w:rsidRPr="000778CB">
              <w:t>NOTE 1:</w:t>
            </w:r>
            <w:r w:rsidRPr="000778CB">
              <w:tab/>
              <w:t>C</w:t>
            </w:r>
            <w:r w:rsidRPr="000778CB">
              <w:rPr>
                <w:rFonts w:hint="eastAsia"/>
              </w:rPr>
              <w:t>A</w:t>
            </w:r>
            <w:r w:rsidRPr="000778CB">
              <w:t xml:space="preserve">_C corresponds to NR CA configurations and bandwidth combination sets defined in </w:t>
            </w:r>
            <w:r w:rsidRPr="00041E1E">
              <w:t>section 5.5A.1</w:t>
            </w:r>
            <w:r w:rsidRPr="000778CB">
              <w:t xml:space="preserve"> </w:t>
            </w:r>
            <w:r>
              <w:t xml:space="preserve">[6~7], </w:t>
            </w:r>
            <w:r w:rsidRPr="000778CB">
              <w:t xml:space="preserve">for intra-band contiguous CA. </w:t>
            </w:r>
          </w:p>
          <w:p w14:paraId="43B253E6" w14:textId="77777777" w:rsidR="00463EDC" w:rsidRDefault="00463EDC" w:rsidP="00F01FDB">
            <w:pPr>
              <w:pStyle w:val="TAN"/>
            </w:pPr>
            <w:r>
              <w:t xml:space="preserve">                 </w:t>
            </w:r>
            <w:r w:rsidRPr="000778CB">
              <w:t>C</w:t>
            </w:r>
            <w:r w:rsidRPr="000778CB">
              <w:rPr>
                <w:rFonts w:hint="eastAsia"/>
              </w:rPr>
              <w:t>A</w:t>
            </w:r>
            <w:r>
              <w:t>_N2 corresponds to NR</w:t>
            </w:r>
            <w:r w:rsidRPr="000778CB">
              <w:t xml:space="preserve"> CA configurations and bandwidth combi</w:t>
            </w:r>
            <w:r>
              <w:t>nation sets defined in section 5.5A.2 [6~7]</w:t>
            </w:r>
            <w:r w:rsidRPr="000778CB">
              <w:t xml:space="preserve"> for </w:t>
            </w:r>
            <w:r>
              <w:t>intra-band non-contiguous CA</w:t>
            </w:r>
            <w:r w:rsidRPr="000778CB">
              <w:t>.</w:t>
            </w:r>
          </w:p>
          <w:p w14:paraId="2B49734D" w14:textId="77777777" w:rsidR="00463EDC" w:rsidRPr="005606F3" w:rsidRDefault="00463EDC" w:rsidP="00F01FDB">
            <w:pPr>
              <w:pStyle w:val="TAN"/>
            </w:pPr>
            <w:r>
              <w:t xml:space="preserve">                 </w:t>
            </w:r>
            <w:r w:rsidRPr="000778CB">
              <w:t>C</w:t>
            </w:r>
            <w:r w:rsidRPr="000778CB">
              <w:rPr>
                <w:rFonts w:hint="eastAsia"/>
              </w:rPr>
              <w:t>A</w:t>
            </w:r>
            <w:r w:rsidRPr="000778CB">
              <w:t xml:space="preserve">_A corresponds to NR CA configurations and bandwidth combination sets defined in </w:t>
            </w:r>
            <w:r w:rsidRPr="0075508C">
              <w:t xml:space="preserve">section 5.5A.3 [6, 8] </w:t>
            </w:r>
            <w:r w:rsidRPr="00865ACD">
              <w:t>for i</w:t>
            </w:r>
            <w:r>
              <w:t>nter-band CA.</w:t>
            </w:r>
          </w:p>
        </w:tc>
      </w:tr>
    </w:tbl>
    <w:p w14:paraId="120D849D" w14:textId="77777777" w:rsidR="00463EDC" w:rsidRPr="00020B6F" w:rsidRDefault="00463EDC" w:rsidP="00463EDC">
      <w:pPr>
        <w:rPr>
          <w:rFonts w:hint="eastAsia"/>
          <w:lang w:val="en-US" w:eastAsia="zh-CN"/>
        </w:rPr>
      </w:pPr>
    </w:p>
    <w:p w14:paraId="2BA52FC9" w14:textId="77777777" w:rsidR="00463EDC" w:rsidRDefault="00463EDC" w:rsidP="00463EDC">
      <w:pPr>
        <w:rPr>
          <w:b/>
          <w:lang w:val="en-US" w:eastAsia="zh-CN"/>
        </w:rPr>
      </w:pPr>
      <w:r w:rsidRPr="005B2AF3">
        <w:rPr>
          <w:b/>
          <w:lang w:val="en-US" w:eastAsia="zh-CN"/>
        </w:rPr>
        <w:t xml:space="preserve">Proposal </w:t>
      </w:r>
      <w:r>
        <w:rPr>
          <w:b/>
          <w:lang w:val="en-US" w:eastAsia="zh-CN"/>
        </w:rPr>
        <w:t>6</w:t>
      </w:r>
      <w:r w:rsidRPr="005B2AF3">
        <w:rPr>
          <w:b/>
          <w:lang w:val="en-US" w:eastAsia="zh-CN"/>
        </w:rPr>
        <w:t>:</w:t>
      </w:r>
      <w:r>
        <w:rPr>
          <w:b/>
          <w:lang w:val="en-US" w:eastAsia="zh-CN"/>
        </w:rPr>
        <w:t xml:space="preserve"> Adopt the following test applicability rule for s</w:t>
      </w:r>
      <w:r w:rsidRPr="00C30F44">
        <w:rPr>
          <w:b/>
          <w:lang w:val="en-US" w:eastAsia="zh-CN"/>
        </w:rPr>
        <w:t>election of CA configurations and CBW combination for test:</w:t>
      </w:r>
      <w:r>
        <w:rPr>
          <w:b/>
          <w:lang w:val="en-US" w:eastAsia="zh-CN"/>
        </w:rPr>
        <w:t xml:space="preserve"> </w:t>
      </w:r>
    </w:p>
    <w:p w14:paraId="7B27070F" w14:textId="77777777" w:rsidR="00463EDC" w:rsidRDefault="00463EDC" w:rsidP="00463EDC">
      <w:pPr>
        <w:numPr>
          <w:ilvl w:val="1"/>
          <w:numId w:val="13"/>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same numerology, for each supported SCS</w:t>
      </w:r>
    </w:p>
    <w:p w14:paraId="2346D0DF" w14:textId="77777777" w:rsidR="00463EDC" w:rsidRDefault="00463EDC" w:rsidP="00463EDC">
      <w:pPr>
        <w:numPr>
          <w:ilvl w:val="2"/>
          <w:numId w:val="13"/>
        </w:numPr>
        <w:rPr>
          <w:b/>
          <w:lang w:val="en-US" w:eastAsia="zh-CN"/>
        </w:rPr>
      </w:pPr>
      <w:r>
        <w:rPr>
          <w:b/>
          <w:lang w:val="en-US" w:eastAsia="zh-CN"/>
        </w:rPr>
        <w:t>Select any one of the supported CA configurations with the largest aggregated CA bandwidth combination for certain selected CA duplex mode</w:t>
      </w:r>
    </w:p>
    <w:p w14:paraId="6EC7CFC1" w14:textId="77777777" w:rsidR="00463EDC" w:rsidRDefault="00463EDC" w:rsidP="00463EDC">
      <w:pPr>
        <w:numPr>
          <w:ilvl w:val="2"/>
          <w:numId w:val="13"/>
        </w:numPr>
        <w:rPr>
          <w:b/>
          <w:lang w:val="en-US" w:eastAsia="zh-CN"/>
        </w:rPr>
      </w:pPr>
      <w:r>
        <w:rPr>
          <w:b/>
          <w:lang w:val="en-US" w:eastAsia="zh-CN"/>
        </w:rPr>
        <w:t>If more than one CA configurations with the same largest aggregated CA bandwidth combination, select the CA configurations with the largest number of CCs</w:t>
      </w:r>
    </w:p>
    <w:p w14:paraId="027A09AA" w14:textId="77777777" w:rsidR="00463EDC" w:rsidRDefault="00463EDC" w:rsidP="00463EDC">
      <w:pPr>
        <w:numPr>
          <w:ilvl w:val="1"/>
          <w:numId w:val="13"/>
        </w:numPr>
        <w:rPr>
          <w:b/>
          <w:lang w:val="en-US" w:eastAsia="zh-CN"/>
        </w:rPr>
      </w:pPr>
      <w:r>
        <w:rPr>
          <w:b/>
          <w:lang w:val="en-US" w:eastAsia="zh-CN"/>
        </w:rPr>
        <w:t>F</w:t>
      </w:r>
      <w:r>
        <w:rPr>
          <w:rFonts w:hint="eastAsia"/>
          <w:b/>
          <w:lang w:val="en-US" w:eastAsia="zh-CN"/>
        </w:rPr>
        <w:t>or intra-band contiguous CA</w:t>
      </w:r>
      <w:r>
        <w:rPr>
          <w:b/>
          <w:lang w:val="en-US" w:eastAsia="zh-CN"/>
        </w:rPr>
        <w:t xml:space="preserve"> and</w:t>
      </w:r>
      <w:r>
        <w:rPr>
          <w:rFonts w:hint="eastAsia"/>
          <w:b/>
          <w:lang w:val="en-US" w:eastAsia="zh-CN"/>
        </w:rPr>
        <w:t xml:space="preserve"> intra-band non-contiguous CA</w:t>
      </w:r>
      <w:r>
        <w:rPr>
          <w:b/>
          <w:lang w:val="en-US" w:eastAsia="zh-CN"/>
        </w:rPr>
        <w:t xml:space="preserve"> with different numerology, as per the PCell configuration for the test</w:t>
      </w:r>
    </w:p>
    <w:p w14:paraId="1ED17DA0" w14:textId="77777777" w:rsidR="00463EDC" w:rsidRDefault="00463EDC" w:rsidP="00463EDC">
      <w:pPr>
        <w:numPr>
          <w:ilvl w:val="2"/>
          <w:numId w:val="13"/>
        </w:numPr>
        <w:rPr>
          <w:b/>
          <w:lang w:val="en-US" w:eastAsia="zh-CN"/>
        </w:rPr>
      </w:pPr>
      <w:r>
        <w:rPr>
          <w:b/>
          <w:lang w:val="en-US" w:eastAsia="zh-CN"/>
        </w:rPr>
        <w:t>Select any one of the supported CA configurations with the largest aggregated CA bandwidth combination for certain selected CA duplex mode</w:t>
      </w:r>
    </w:p>
    <w:p w14:paraId="65CD25D0" w14:textId="77777777" w:rsidR="00463EDC" w:rsidRDefault="00463EDC" w:rsidP="00463EDC">
      <w:pPr>
        <w:numPr>
          <w:ilvl w:val="2"/>
          <w:numId w:val="13"/>
        </w:numPr>
        <w:rPr>
          <w:b/>
          <w:lang w:val="en-US" w:eastAsia="zh-CN"/>
        </w:rPr>
      </w:pPr>
      <w:r>
        <w:rPr>
          <w:b/>
          <w:lang w:val="en-US" w:eastAsia="zh-CN"/>
        </w:rPr>
        <w:t>If more than one CA configurations with the same largest aggregated CA bandwidth combination, select the CA configurations with the largest number of CCs</w:t>
      </w:r>
    </w:p>
    <w:p w14:paraId="0A30805F" w14:textId="77777777" w:rsidR="00463EDC" w:rsidRDefault="00463EDC" w:rsidP="00463EDC">
      <w:pPr>
        <w:numPr>
          <w:ilvl w:val="1"/>
          <w:numId w:val="13"/>
        </w:numPr>
        <w:rPr>
          <w:b/>
          <w:lang w:val="en-US" w:eastAsia="zh-CN"/>
        </w:rPr>
      </w:pPr>
      <w:r>
        <w:rPr>
          <w:b/>
          <w:lang w:val="en-US" w:eastAsia="zh-CN"/>
        </w:rPr>
        <w:lastRenderedPageBreak/>
        <w:t>F</w:t>
      </w:r>
      <w:r>
        <w:rPr>
          <w:rFonts w:hint="eastAsia"/>
          <w:b/>
          <w:lang w:val="en-US" w:eastAsia="zh-CN"/>
        </w:rPr>
        <w:t>or inter-band CA</w:t>
      </w:r>
      <w:r>
        <w:rPr>
          <w:b/>
          <w:lang w:val="en-US" w:eastAsia="zh-CN"/>
        </w:rPr>
        <w:t>, as per the PCell configuration for the test</w:t>
      </w:r>
    </w:p>
    <w:p w14:paraId="01B96DE5" w14:textId="77777777" w:rsidR="00463EDC" w:rsidRPr="00405C20" w:rsidRDefault="00463EDC" w:rsidP="00463EDC">
      <w:pPr>
        <w:numPr>
          <w:ilvl w:val="2"/>
          <w:numId w:val="13"/>
        </w:numPr>
        <w:rPr>
          <w:rFonts w:hint="eastAsia"/>
          <w:b/>
          <w:lang w:val="en-US" w:eastAsia="zh-CN"/>
        </w:rPr>
      </w:pPr>
      <w:r w:rsidRPr="004C08C2">
        <w:rPr>
          <w:b/>
          <w:lang w:val="en-US" w:eastAsia="zh-CN"/>
        </w:rPr>
        <w:t>Select any one of the supported CA configurations with the largest number of bands a</w:t>
      </w:r>
      <w:r>
        <w:rPr>
          <w:b/>
          <w:lang w:val="en-US" w:eastAsia="zh-CN"/>
        </w:rPr>
        <w:t>ggregated</w:t>
      </w:r>
    </w:p>
    <w:p w14:paraId="41B99234" w14:textId="77777777" w:rsidR="0001565F" w:rsidRPr="004A3E04" w:rsidRDefault="0001565F" w:rsidP="0013204A">
      <w:pPr>
        <w:pStyle w:val="1"/>
        <w:rPr>
          <w:rFonts w:ascii="Times New Roman" w:eastAsia="宋体" w:hAnsi="Times New Roman" w:hint="eastAsia"/>
          <w:sz w:val="20"/>
          <w:lang w:eastAsia="zh-CN"/>
        </w:rPr>
      </w:pPr>
      <w:r w:rsidRPr="000A4C5A">
        <w:rPr>
          <w:rFonts w:hint="eastAsia"/>
        </w:rPr>
        <w:t>Reference</w:t>
      </w:r>
    </w:p>
    <w:bookmarkEnd w:id="0"/>
    <w:p w14:paraId="072AAE96" w14:textId="77777777" w:rsidR="00DB6488" w:rsidRDefault="00DB6488" w:rsidP="00872665">
      <w:pPr>
        <w:numPr>
          <w:ilvl w:val="0"/>
          <w:numId w:val="10"/>
        </w:numPr>
        <w:rPr>
          <w:lang w:val="en-US" w:eastAsia="zh-CN"/>
        </w:rPr>
      </w:pPr>
      <w:r>
        <w:rPr>
          <w:rFonts w:hint="eastAsia"/>
          <w:lang w:val="en-US" w:eastAsia="zh-CN"/>
        </w:rPr>
        <w:t>R</w:t>
      </w:r>
      <w:r>
        <w:rPr>
          <w:lang w:val="en-US" w:eastAsia="zh-CN"/>
        </w:rPr>
        <w:t xml:space="preserve">4-2008838, </w:t>
      </w:r>
      <w:r w:rsidR="00EA260A" w:rsidRPr="00EA260A">
        <w:rPr>
          <w:lang w:eastAsia="zh-CN"/>
        </w:rPr>
        <w:t>Way forward on PDSCH CA normal demodulation requirements</w:t>
      </w:r>
      <w:r w:rsidR="00EA260A">
        <w:rPr>
          <w:lang w:eastAsia="zh-CN"/>
        </w:rPr>
        <w:t>, RAN4#95</w:t>
      </w:r>
      <w:r w:rsidR="00EA260A">
        <w:rPr>
          <w:rFonts w:hint="eastAsia"/>
          <w:lang w:eastAsia="zh-CN"/>
        </w:rPr>
        <w:t>-</w:t>
      </w:r>
      <w:r w:rsidR="00EA260A">
        <w:rPr>
          <w:lang w:eastAsia="zh-CN"/>
        </w:rPr>
        <w:t>e, Intel Corporation</w:t>
      </w:r>
    </w:p>
    <w:p w14:paraId="0B7864DF" w14:textId="77777777" w:rsidR="00872665" w:rsidRDefault="00872665" w:rsidP="00872665">
      <w:pPr>
        <w:numPr>
          <w:ilvl w:val="0"/>
          <w:numId w:val="10"/>
        </w:numPr>
        <w:rPr>
          <w:lang w:val="en-US" w:eastAsia="zh-CN"/>
        </w:rPr>
      </w:pPr>
      <w:r>
        <w:rPr>
          <w:rFonts w:hint="eastAsia"/>
          <w:lang w:val="en-US" w:eastAsia="zh-CN"/>
        </w:rPr>
        <w:t>R</w:t>
      </w:r>
      <w:r>
        <w:rPr>
          <w:lang w:val="en-US" w:eastAsia="zh-CN"/>
        </w:rPr>
        <w:t xml:space="preserve">4-2005546, Way forward on PDSCH CA normal demodulation requirements, RAN4#94-e-Bis, Intel </w:t>
      </w:r>
      <w:r>
        <w:t>Corporation</w:t>
      </w:r>
    </w:p>
    <w:p w14:paraId="24C27137" w14:textId="77777777" w:rsidR="00872665" w:rsidRDefault="00872665" w:rsidP="00E124BC">
      <w:pPr>
        <w:numPr>
          <w:ilvl w:val="0"/>
          <w:numId w:val="10"/>
        </w:numPr>
        <w:rPr>
          <w:lang w:val="en-US" w:eastAsia="zh-CN"/>
        </w:rPr>
      </w:pPr>
      <w:r>
        <w:rPr>
          <w:lang w:val="en-US" w:eastAsia="zh-CN"/>
        </w:rPr>
        <w:t>R4-200</w:t>
      </w:r>
      <w:r w:rsidR="00E124BC">
        <w:rPr>
          <w:lang w:val="en-US" w:eastAsia="zh-CN"/>
        </w:rPr>
        <w:t>7221</w:t>
      </w:r>
      <w:r>
        <w:rPr>
          <w:lang w:val="en-US" w:eastAsia="zh-CN"/>
        </w:rPr>
        <w:t xml:space="preserve">, </w:t>
      </w:r>
      <w:r w:rsidR="00E124BC" w:rsidRPr="00E124BC">
        <w:rPr>
          <w:lang w:val="en-US" w:eastAsia="zh-CN"/>
        </w:rPr>
        <w:t>Discussion on the HARQ timing for NR UE CA performance requirements</w:t>
      </w:r>
      <w:r>
        <w:rPr>
          <w:lang w:val="en-US" w:eastAsia="zh-CN"/>
        </w:rPr>
        <w:t xml:space="preserve">, </w:t>
      </w:r>
      <w:r w:rsidR="00E124BC">
        <w:rPr>
          <w:lang w:val="en-US" w:eastAsia="zh-CN"/>
        </w:rPr>
        <w:t>Huawei, HiSilicon</w:t>
      </w:r>
    </w:p>
    <w:p w14:paraId="527E1948" w14:textId="77777777" w:rsidR="00F21C86" w:rsidRDefault="00F21C86" w:rsidP="00E124BC">
      <w:pPr>
        <w:numPr>
          <w:ilvl w:val="0"/>
          <w:numId w:val="10"/>
        </w:numPr>
        <w:rPr>
          <w:lang w:val="en-US" w:eastAsia="zh-CN"/>
        </w:rPr>
      </w:pPr>
      <w:r>
        <w:rPr>
          <w:lang w:val="en-US" w:eastAsia="zh-CN"/>
        </w:rPr>
        <w:t>R4-200</w:t>
      </w:r>
      <w:r w:rsidR="00E124BC">
        <w:rPr>
          <w:lang w:val="en-US" w:eastAsia="zh-CN"/>
        </w:rPr>
        <w:t>3717</w:t>
      </w:r>
      <w:r>
        <w:rPr>
          <w:lang w:val="en-US" w:eastAsia="zh-CN"/>
        </w:rPr>
        <w:t xml:space="preserve">, </w:t>
      </w:r>
      <w:r w:rsidR="00E124BC" w:rsidRPr="00E124BC">
        <w:rPr>
          <w:lang w:val="en-US" w:eastAsia="zh-CN"/>
        </w:rPr>
        <w:t>Discussion on the HARQ timing for NR UE CA performance requirements</w:t>
      </w:r>
      <w:r w:rsidR="00E124BC">
        <w:rPr>
          <w:lang w:val="en-US" w:eastAsia="zh-CN"/>
        </w:rPr>
        <w:t xml:space="preserve">, </w:t>
      </w:r>
      <w:r>
        <w:rPr>
          <w:lang w:val="en-US" w:eastAsia="zh-CN"/>
        </w:rPr>
        <w:t>Huawei</w:t>
      </w:r>
      <w:r w:rsidR="00E124BC">
        <w:rPr>
          <w:lang w:val="en-US" w:eastAsia="zh-CN"/>
        </w:rPr>
        <w:t>, HiSilicon</w:t>
      </w:r>
    </w:p>
    <w:p w14:paraId="4A9CB1E0" w14:textId="77777777" w:rsidR="00244958" w:rsidRDefault="00244958" w:rsidP="00244958">
      <w:pPr>
        <w:numPr>
          <w:ilvl w:val="0"/>
          <w:numId w:val="10"/>
        </w:numPr>
        <w:rPr>
          <w:lang w:val="en-US" w:eastAsia="zh-CN"/>
        </w:rPr>
      </w:pPr>
      <w:r>
        <w:rPr>
          <w:rFonts w:hint="eastAsia"/>
          <w:lang w:val="en-US" w:eastAsia="zh-CN"/>
        </w:rPr>
        <w:t>R4-1</w:t>
      </w:r>
      <w:r>
        <w:rPr>
          <w:lang w:val="en-US" w:eastAsia="zh-CN"/>
        </w:rPr>
        <w:t>915861,</w:t>
      </w:r>
      <w:r>
        <w:rPr>
          <w:rFonts w:hint="eastAsia"/>
          <w:lang w:val="en-US" w:eastAsia="zh-CN"/>
        </w:rPr>
        <w:t xml:space="preserve"> </w:t>
      </w:r>
      <w:r w:rsidRPr="005C2354">
        <w:rPr>
          <w:lang w:val="en-US" w:eastAsia="zh-CN"/>
        </w:rPr>
        <w:t>Way forward on PDSCH CA normal demodulation requirements</w:t>
      </w:r>
      <w:r>
        <w:rPr>
          <w:lang w:val="en-US" w:eastAsia="zh-CN"/>
        </w:rPr>
        <w:t>, RAN4#93, Intel</w:t>
      </w:r>
    </w:p>
    <w:p w14:paraId="7860CC97" w14:textId="77777777" w:rsidR="00244958" w:rsidRDefault="00244958" w:rsidP="00244958">
      <w:pPr>
        <w:numPr>
          <w:ilvl w:val="0"/>
          <w:numId w:val="10"/>
        </w:numPr>
        <w:rPr>
          <w:lang w:val="en-US" w:eastAsia="zh-CN"/>
        </w:rPr>
      </w:pPr>
      <w:r>
        <w:rPr>
          <w:lang w:val="en-US" w:eastAsia="zh-CN"/>
        </w:rPr>
        <w:t xml:space="preserve">R4-2005595, </w:t>
      </w:r>
      <w:r w:rsidRPr="00244958">
        <w:rPr>
          <w:lang w:val="en-US" w:eastAsia="zh-CN"/>
        </w:rPr>
        <w:t>Email discussion summary for [94e Bis][224] NR_perf_enh_Demod_UE</w:t>
      </w:r>
      <w:r>
        <w:rPr>
          <w:lang w:val="en-US" w:eastAsia="zh-CN"/>
        </w:rPr>
        <w:t>, Moderatot (China Telecom)</w:t>
      </w:r>
    </w:p>
    <w:p w14:paraId="3495C47A" w14:textId="77777777" w:rsidR="00A674AD" w:rsidRDefault="00A674AD" w:rsidP="00A674AD">
      <w:pPr>
        <w:numPr>
          <w:ilvl w:val="0"/>
          <w:numId w:val="10"/>
        </w:numPr>
        <w:rPr>
          <w:lang w:val="en-US" w:eastAsia="zh-CN"/>
        </w:rPr>
      </w:pPr>
      <w:r>
        <w:rPr>
          <w:rFonts w:hint="eastAsia"/>
          <w:lang w:val="en-US" w:eastAsia="zh-CN"/>
        </w:rPr>
        <w:t>R</w:t>
      </w:r>
      <w:r>
        <w:rPr>
          <w:lang w:val="en-US" w:eastAsia="zh-CN"/>
        </w:rPr>
        <w:t xml:space="preserve">4-2000136, </w:t>
      </w:r>
      <w:r w:rsidRPr="00A674AD">
        <w:rPr>
          <w:lang w:val="en-US" w:eastAsia="zh-CN"/>
        </w:rPr>
        <w:t>On NR CA PDSCH normal demodulation requirements</w:t>
      </w:r>
      <w:r>
        <w:rPr>
          <w:lang w:val="en-US" w:eastAsia="zh-CN"/>
        </w:rPr>
        <w:t>, RAN4#94-e, China Telecom</w:t>
      </w:r>
    </w:p>
    <w:sectPr w:rsidR="00A674AD" w:rsidSect="002E28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4A7F9" w14:textId="77777777" w:rsidR="000A7B65" w:rsidRDefault="000A7B65">
      <w:r>
        <w:separator/>
      </w:r>
    </w:p>
  </w:endnote>
  <w:endnote w:type="continuationSeparator" w:id="0">
    <w:p w14:paraId="645D1C15" w14:textId="77777777" w:rsidR="000A7B65" w:rsidRDefault="000A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5A51A" w14:textId="77777777" w:rsidR="000A7B65" w:rsidRDefault="000A7B65">
      <w:r>
        <w:separator/>
      </w:r>
    </w:p>
  </w:footnote>
  <w:footnote w:type="continuationSeparator" w:id="0">
    <w:p w14:paraId="00026357" w14:textId="77777777" w:rsidR="000A7B65" w:rsidRDefault="000A7B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A9552C"/>
    <w:multiLevelType w:val="hybridMultilevel"/>
    <w:tmpl w:val="A5E0E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623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C567354"/>
    <w:multiLevelType w:val="hybridMultilevel"/>
    <w:tmpl w:val="3A5096AE"/>
    <w:lvl w:ilvl="0" w:tplc="1488F5A2">
      <w:start w:val="1"/>
      <w:numFmt w:val="bullet"/>
      <w:lvlText w:val="•"/>
      <w:lvlJc w:val="left"/>
      <w:pPr>
        <w:tabs>
          <w:tab w:val="num" w:pos="720"/>
        </w:tabs>
        <w:ind w:left="720" w:hanging="360"/>
      </w:pPr>
      <w:rPr>
        <w:rFonts w:ascii="Arial" w:hAnsi="Arial" w:hint="default"/>
      </w:rPr>
    </w:lvl>
    <w:lvl w:ilvl="1" w:tplc="EA4C1DEA">
      <w:numFmt w:val="bullet"/>
      <w:lvlText w:val="–"/>
      <w:lvlJc w:val="left"/>
      <w:pPr>
        <w:tabs>
          <w:tab w:val="num" w:pos="1440"/>
        </w:tabs>
        <w:ind w:left="1440" w:hanging="360"/>
      </w:pPr>
      <w:rPr>
        <w:rFonts w:ascii="Arial" w:hAnsi="Arial" w:hint="default"/>
      </w:rPr>
    </w:lvl>
    <w:lvl w:ilvl="2" w:tplc="F3129A2C">
      <w:start w:val="1"/>
      <w:numFmt w:val="bullet"/>
      <w:lvlText w:val="•"/>
      <w:lvlJc w:val="left"/>
      <w:pPr>
        <w:tabs>
          <w:tab w:val="num" w:pos="2160"/>
        </w:tabs>
        <w:ind w:left="2160" w:hanging="360"/>
      </w:pPr>
      <w:rPr>
        <w:rFonts w:ascii="Arial" w:hAnsi="Arial" w:hint="default"/>
      </w:rPr>
    </w:lvl>
    <w:lvl w:ilvl="3" w:tplc="0428D1AC">
      <w:start w:val="1"/>
      <w:numFmt w:val="bullet"/>
      <w:lvlText w:val="•"/>
      <w:lvlJc w:val="left"/>
      <w:pPr>
        <w:tabs>
          <w:tab w:val="num" w:pos="2880"/>
        </w:tabs>
        <w:ind w:left="2880" w:hanging="360"/>
      </w:pPr>
      <w:rPr>
        <w:rFonts w:ascii="Arial" w:hAnsi="Arial" w:hint="default"/>
      </w:rPr>
    </w:lvl>
    <w:lvl w:ilvl="4" w:tplc="3D649110" w:tentative="1">
      <w:start w:val="1"/>
      <w:numFmt w:val="bullet"/>
      <w:lvlText w:val="•"/>
      <w:lvlJc w:val="left"/>
      <w:pPr>
        <w:tabs>
          <w:tab w:val="num" w:pos="3600"/>
        </w:tabs>
        <w:ind w:left="3600" w:hanging="360"/>
      </w:pPr>
      <w:rPr>
        <w:rFonts w:ascii="Arial" w:hAnsi="Arial" w:hint="default"/>
      </w:rPr>
    </w:lvl>
    <w:lvl w:ilvl="5" w:tplc="BB8EBF3C" w:tentative="1">
      <w:start w:val="1"/>
      <w:numFmt w:val="bullet"/>
      <w:lvlText w:val="•"/>
      <w:lvlJc w:val="left"/>
      <w:pPr>
        <w:tabs>
          <w:tab w:val="num" w:pos="4320"/>
        </w:tabs>
        <w:ind w:left="4320" w:hanging="360"/>
      </w:pPr>
      <w:rPr>
        <w:rFonts w:ascii="Arial" w:hAnsi="Arial" w:hint="default"/>
      </w:rPr>
    </w:lvl>
    <w:lvl w:ilvl="6" w:tplc="ED3E10D6" w:tentative="1">
      <w:start w:val="1"/>
      <w:numFmt w:val="bullet"/>
      <w:lvlText w:val="•"/>
      <w:lvlJc w:val="left"/>
      <w:pPr>
        <w:tabs>
          <w:tab w:val="num" w:pos="5040"/>
        </w:tabs>
        <w:ind w:left="5040" w:hanging="360"/>
      </w:pPr>
      <w:rPr>
        <w:rFonts w:ascii="Arial" w:hAnsi="Arial" w:hint="default"/>
      </w:rPr>
    </w:lvl>
    <w:lvl w:ilvl="7" w:tplc="465242AA" w:tentative="1">
      <w:start w:val="1"/>
      <w:numFmt w:val="bullet"/>
      <w:lvlText w:val="•"/>
      <w:lvlJc w:val="left"/>
      <w:pPr>
        <w:tabs>
          <w:tab w:val="num" w:pos="5760"/>
        </w:tabs>
        <w:ind w:left="5760" w:hanging="360"/>
      </w:pPr>
      <w:rPr>
        <w:rFonts w:ascii="Arial" w:hAnsi="Arial" w:hint="default"/>
      </w:rPr>
    </w:lvl>
    <w:lvl w:ilvl="8" w:tplc="E4227A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8965D6"/>
    <w:multiLevelType w:val="hybridMultilevel"/>
    <w:tmpl w:val="2A1A7E20"/>
    <w:lvl w:ilvl="0" w:tplc="26B2E10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357D0D"/>
    <w:multiLevelType w:val="hybridMultilevel"/>
    <w:tmpl w:val="79D8E76C"/>
    <w:lvl w:ilvl="0" w:tplc="B634A09A">
      <w:start w:val="1"/>
      <w:numFmt w:val="bullet"/>
      <w:lvlText w:val="•"/>
      <w:lvlJc w:val="left"/>
      <w:pPr>
        <w:tabs>
          <w:tab w:val="num" w:pos="720"/>
        </w:tabs>
        <w:ind w:left="720" w:hanging="360"/>
      </w:pPr>
      <w:rPr>
        <w:rFonts w:ascii="Arial" w:hAnsi="Arial" w:hint="default"/>
      </w:rPr>
    </w:lvl>
    <w:lvl w:ilvl="1" w:tplc="A8E4D726" w:tentative="1">
      <w:start w:val="1"/>
      <w:numFmt w:val="bullet"/>
      <w:lvlText w:val="•"/>
      <w:lvlJc w:val="left"/>
      <w:pPr>
        <w:tabs>
          <w:tab w:val="num" w:pos="1440"/>
        </w:tabs>
        <w:ind w:left="1440" w:hanging="360"/>
      </w:pPr>
      <w:rPr>
        <w:rFonts w:ascii="Arial" w:hAnsi="Arial" w:hint="default"/>
      </w:rPr>
    </w:lvl>
    <w:lvl w:ilvl="2" w:tplc="6AA00D58" w:tentative="1">
      <w:start w:val="1"/>
      <w:numFmt w:val="bullet"/>
      <w:lvlText w:val="•"/>
      <w:lvlJc w:val="left"/>
      <w:pPr>
        <w:tabs>
          <w:tab w:val="num" w:pos="2160"/>
        </w:tabs>
        <w:ind w:left="2160" w:hanging="360"/>
      </w:pPr>
      <w:rPr>
        <w:rFonts w:ascii="Arial" w:hAnsi="Arial" w:hint="default"/>
      </w:rPr>
    </w:lvl>
    <w:lvl w:ilvl="3" w:tplc="289A2796" w:tentative="1">
      <w:start w:val="1"/>
      <w:numFmt w:val="bullet"/>
      <w:lvlText w:val="•"/>
      <w:lvlJc w:val="left"/>
      <w:pPr>
        <w:tabs>
          <w:tab w:val="num" w:pos="2880"/>
        </w:tabs>
        <w:ind w:left="2880" w:hanging="360"/>
      </w:pPr>
      <w:rPr>
        <w:rFonts w:ascii="Arial" w:hAnsi="Arial" w:hint="default"/>
      </w:rPr>
    </w:lvl>
    <w:lvl w:ilvl="4" w:tplc="09927B46" w:tentative="1">
      <w:start w:val="1"/>
      <w:numFmt w:val="bullet"/>
      <w:lvlText w:val="•"/>
      <w:lvlJc w:val="left"/>
      <w:pPr>
        <w:tabs>
          <w:tab w:val="num" w:pos="3600"/>
        </w:tabs>
        <w:ind w:left="3600" w:hanging="360"/>
      </w:pPr>
      <w:rPr>
        <w:rFonts w:ascii="Arial" w:hAnsi="Arial" w:hint="default"/>
      </w:rPr>
    </w:lvl>
    <w:lvl w:ilvl="5" w:tplc="A04A9D7C" w:tentative="1">
      <w:start w:val="1"/>
      <w:numFmt w:val="bullet"/>
      <w:lvlText w:val="•"/>
      <w:lvlJc w:val="left"/>
      <w:pPr>
        <w:tabs>
          <w:tab w:val="num" w:pos="4320"/>
        </w:tabs>
        <w:ind w:left="4320" w:hanging="360"/>
      </w:pPr>
      <w:rPr>
        <w:rFonts w:ascii="Arial" w:hAnsi="Arial" w:hint="default"/>
      </w:rPr>
    </w:lvl>
    <w:lvl w:ilvl="6" w:tplc="064E4E66" w:tentative="1">
      <w:start w:val="1"/>
      <w:numFmt w:val="bullet"/>
      <w:lvlText w:val="•"/>
      <w:lvlJc w:val="left"/>
      <w:pPr>
        <w:tabs>
          <w:tab w:val="num" w:pos="5040"/>
        </w:tabs>
        <w:ind w:left="5040" w:hanging="360"/>
      </w:pPr>
      <w:rPr>
        <w:rFonts w:ascii="Arial" w:hAnsi="Arial" w:hint="default"/>
      </w:rPr>
    </w:lvl>
    <w:lvl w:ilvl="7" w:tplc="386E1AF8" w:tentative="1">
      <w:start w:val="1"/>
      <w:numFmt w:val="bullet"/>
      <w:lvlText w:val="•"/>
      <w:lvlJc w:val="left"/>
      <w:pPr>
        <w:tabs>
          <w:tab w:val="num" w:pos="5760"/>
        </w:tabs>
        <w:ind w:left="5760" w:hanging="360"/>
      </w:pPr>
      <w:rPr>
        <w:rFonts w:ascii="Arial" w:hAnsi="Arial" w:hint="default"/>
      </w:rPr>
    </w:lvl>
    <w:lvl w:ilvl="8" w:tplc="09CE8E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73150A"/>
    <w:multiLevelType w:val="hybridMultilevel"/>
    <w:tmpl w:val="8BCC82DE"/>
    <w:lvl w:ilvl="0" w:tplc="F1969746">
      <w:start w:val="1"/>
      <w:numFmt w:val="bullet"/>
      <w:lvlText w:val="•"/>
      <w:lvlJc w:val="left"/>
      <w:pPr>
        <w:tabs>
          <w:tab w:val="num" w:pos="720"/>
        </w:tabs>
        <w:ind w:left="720" w:hanging="360"/>
      </w:pPr>
      <w:rPr>
        <w:rFonts w:ascii="Arial" w:hAnsi="Arial" w:hint="default"/>
      </w:rPr>
    </w:lvl>
    <w:lvl w:ilvl="1" w:tplc="DCC4F67E">
      <w:numFmt w:val="bullet"/>
      <w:lvlText w:val="–"/>
      <w:lvlJc w:val="left"/>
      <w:pPr>
        <w:tabs>
          <w:tab w:val="num" w:pos="1440"/>
        </w:tabs>
        <w:ind w:left="1440" w:hanging="360"/>
      </w:pPr>
      <w:rPr>
        <w:rFonts w:ascii="Arial" w:hAnsi="Arial" w:hint="default"/>
      </w:rPr>
    </w:lvl>
    <w:lvl w:ilvl="2" w:tplc="DE2A9790">
      <w:numFmt w:val="bullet"/>
      <w:lvlText w:val="•"/>
      <w:lvlJc w:val="left"/>
      <w:pPr>
        <w:tabs>
          <w:tab w:val="num" w:pos="2160"/>
        </w:tabs>
        <w:ind w:left="2160" w:hanging="360"/>
      </w:pPr>
      <w:rPr>
        <w:rFonts w:ascii="Arial" w:hAnsi="Arial" w:hint="default"/>
      </w:rPr>
    </w:lvl>
    <w:lvl w:ilvl="3" w:tplc="E110A7AA">
      <w:start w:val="1"/>
      <w:numFmt w:val="bullet"/>
      <w:lvlText w:val="•"/>
      <w:lvlJc w:val="left"/>
      <w:pPr>
        <w:tabs>
          <w:tab w:val="num" w:pos="2880"/>
        </w:tabs>
        <w:ind w:left="2880" w:hanging="360"/>
      </w:pPr>
      <w:rPr>
        <w:rFonts w:ascii="Arial" w:hAnsi="Arial" w:hint="default"/>
      </w:rPr>
    </w:lvl>
    <w:lvl w:ilvl="4" w:tplc="9D60D862" w:tentative="1">
      <w:start w:val="1"/>
      <w:numFmt w:val="bullet"/>
      <w:lvlText w:val="•"/>
      <w:lvlJc w:val="left"/>
      <w:pPr>
        <w:tabs>
          <w:tab w:val="num" w:pos="3600"/>
        </w:tabs>
        <w:ind w:left="3600" w:hanging="360"/>
      </w:pPr>
      <w:rPr>
        <w:rFonts w:ascii="Arial" w:hAnsi="Arial" w:hint="default"/>
      </w:rPr>
    </w:lvl>
    <w:lvl w:ilvl="5" w:tplc="E514F522" w:tentative="1">
      <w:start w:val="1"/>
      <w:numFmt w:val="bullet"/>
      <w:lvlText w:val="•"/>
      <w:lvlJc w:val="left"/>
      <w:pPr>
        <w:tabs>
          <w:tab w:val="num" w:pos="4320"/>
        </w:tabs>
        <w:ind w:left="4320" w:hanging="360"/>
      </w:pPr>
      <w:rPr>
        <w:rFonts w:ascii="Arial" w:hAnsi="Arial" w:hint="default"/>
      </w:rPr>
    </w:lvl>
    <w:lvl w:ilvl="6" w:tplc="CA8C19A4" w:tentative="1">
      <w:start w:val="1"/>
      <w:numFmt w:val="bullet"/>
      <w:lvlText w:val="•"/>
      <w:lvlJc w:val="left"/>
      <w:pPr>
        <w:tabs>
          <w:tab w:val="num" w:pos="5040"/>
        </w:tabs>
        <w:ind w:left="5040" w:hanging="360"/>
      </w:pPr>
      <w:rPr>
        <w:rFonts w:ascii="Arial" w:hAnsi="Arial" w:hint="default"/>
      </w:rPr>
    </w:lvl>
    <w:lvl w:ilvl="7" w:tplc="2F52E876" w:tentative="1">
      <w:start w:val="1"/>
      <w:numFmt w:val="bullet"/>
      <w:lvlText w:val="•"/>
      <w:lvlJc w:val="left"/>
      <w:pPr>
        <w:tabs>
          <w:tab w:val="num" w:pos="5760"/>
        </w:tabs>
        <w:ind w:left="5760" w:hanging="360"/>
      </w:pPr>
      <w:rPr>
        <w:rFonts w:ascii="Arial" w:hAnsi="Arial" w:hint="default"/>
      </w:rPr>
    </w:lvl>
    <w:lvl w:ilvl="8" w:tplc="93B4E1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C73AB2"/>
    <w:multiLevelType w:val="hybridMultilevel"/>
    <w:tmpl w:val="F41EAE1E"/>
    <w:lvl w:ilvl="0" w:tplc="645A2694">
      <w:start w:val="1"/>
      <w:numFmt w:val="bullet"/>
      <w:lvlText w:val="•"/>
      <w:lvlJc w:val="left"/>
      <w:pPr>
        <w:tabs>
          <w:tab w:val="num" w:pos="720"/>
        </w:tabs>
        <w:ind w:left="720" w:hanging="360"/>
      </w:pPr>
      <w:rPr>
        <w:rFonts w:ascii="Arial" w:hAnsi="Arial" w:hint="default"/>
      </w:rPr>
    </w:lvl>
    <w:lvl w:ilvl="1" w:tplc="6C5EEDBA">
      <w:numFmt w:val="bullet"/>
      <w:lvlText w:val="–"/>
      <w:lvlJc w:val="left"/>
      <w:pPr>
        <w:tabs>
          <w:tab w:val="num" w:pos="1440"/>
        </w:tabs>
        <w:ind w:left="1440" w:hanging="360"/>
      </w:pPr>
      <w:rPr>
        <w:rFonts w:ascii="Arial" w:hAnsi="Arial" w:hint="default"/>
      </w:rPr>
    </w:lvl>
    <w:lvl w:ilvl="2" w:tplc="A7A85FAE">
      <w:numFmt w:val="bullet"/>
      <w:lvlText w:val="•"/>
      <w:lvlJc w:val="left"/>
      <w:pPr>
        <w:tabs>
          <w:tab w:val="num" w:pos="2160"/>
        </w:tabs>
        <w:ind w:left="2160" w:hanging="360"/>
      </w:pPr>
      <w:rPr>
        <w:rFonts w:ascii="Arial" w:hAnsi="Arial" w:hint="default"/>
      </w:rPr>
    </w:lvl>
    <w:lvl w:ilvl="3" w:tplc="2D600468" w:tentative="1">
      <w:start w:val="1"/>
      <w:numFmt w:val="bullet"/>
      <w:lvlText w:val="•"/>
      <w:lvlJc w:val="left"/>
      <w:pPr>
        <w:tabs>
          <w:tab w:val="num" w:pos="2880"/>
        </w:tabs>
        <w:ind w:left="2880" w:hanging="360"/>
      </w:pPr>
      <w:rPr>
        <w:rFonts w:ascii="Arial" w:hAnsi="Arial" w:hint="default"/>
      </w:rPr>
    </w:lvl>
    <w:lvl w:ilvl="4" w:tplc="7DD26B82" w:tentative="1">
      <w:start w:val="1"/>
      <w:numFmt w:val="bullet"/>
      <w:lvlText w:val="•"/>
      <w:lvlJc w:val="left"/>
      <w:pPr>
        <w:tabs>
          <w:tab w:val="num" w:pos="3600"/>
        </w:tabs>
        <w:ind w:left="3600" w:hanging="360"/>
      </w:pPr>
      <w:rPr>
        <w:rFonts w:ascii="Arial" w:hAnsi="Arial" w:hint="default"/>
      </w:rPr>
    </w:lvl>
    <w:lvl w:ilvl="5" w:tplc="E8E89C06" w:tentative="1">
      <w:start w:val="1"/>
      <w:numFmt w:val="bullet"/>
      <w:lvlText w:val="•"/>
      <w:lvlJc w:val="left"/>
      <w:pPr>
        <w:tabs>
          <w:tab w:val="num" w:pos="4320"/>
        </w:tabs>
        <w:ind w:left="4320" w:hanging="360"/>
      </w:pPr>
      <w:rPr>
        <w:rFonts w:ascii="Arial" w:hAnsi="Arial" w:hint="default"/>
      </w:rPr>
    </w:lvl>
    <w:lvl w:ilvl="6" w:tplc="02B2B7EE" w:tentative="1">
      <w:start w:val="1"/>
      <w:numFmt w:val="bullet"/>
      <w:lvlText w:val="•"/>
      <w:lvlJc w:val="left"/>
      <w:pPr>
        <w:tabs>
          <w:tab w:val="num" w:pos="5040"/>
        </w:tabs>
        <w:ind w:left="5040" w:hanging="360"/>
      </w:pPr>
      <w:rPr>
        <w:rFonts w:ascii="Arial" w:hAnsi="Arial" w:hint="default"/>
      </w:rPr>
    </w:lvl>
    <w:lvl w:ilvl="7" w:tplc="93EE7C0A" w:tentative="1">
      <w:start w:val="1"/>
      <w:numFmt w:val="bullet"/>
      <w:lvlText w:val="•"/>
      <w:lvlJc w:val="left"/>
      <w:pPr>
        <w:tabs>
          <w:tab w:val="num" w:pos="5760"/>
        </w:tabs>
        <w:ind w:left="5760" w:hanging="360"/>
      </w:pPr>
      <w:rPr>
        <w:rFonts w:ascii="Arial" w:hAnsi="Arial" w:hint="default"/>
      </w:rPr>
    </w:lvl>
    <w:lvl w:ilvl="8" w:tplc="1B90B2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B0E34"/>
    <w:multiLevelType w:val="hybridMultilevel"/>
    <w:tmpl w:val="4746A5CC"/>
    <w:lvl w:ilvl="0" w:tplc="1C2E82F4">
      <w:start w:val="1"/>
      <w:numFmt w:val="bullet"/>
      <w:lvlText w:val="•"/>
      <w:lvlJc w:val="left"/>
      <w:pPr>
        <w:tabs>
          <w:tab w:val="num" w:pos="720"/>
        </w:tabs>
        <w:ind w:left="720" w:hanging="360"/>
      </w:pPr>
      <w:rPr>
        <w:rFonts w:ascii="Arial" w:hAnsi="Arial" w:hint="default"/>
      </w:rPr>
    </w:lvl>
    <w:lvl w:ilvl="1" w:tplc="5ED0C3DC">
      <w:numFmt w:val="bullet"/>
      <w:lvlText w:val="–"/>
      <w:lvlJc w:val="left"/>
      <w:pPr>
        <w:tabs>
          <w:tab w:val="num" w:pos="1440"/>
        </w:tabs>
        <w:ind w:left="1440" w:hanging="360"/>
      </w:pPr>
      <w:rPr>
        <w:rFonts w:ascii="Arial" w:hAnsi="Arial" w:hint="default"/>
      </w:rPr>
    </w:lvl>
    <w:lvl w:ilvl="2" w:tplc="5F187B74" w:tentative="1">
      <w:start w:val="1"/>
      <w:numFmt w:val="bullet"/>
      <w:lvlText w:val="•"/>
      <w:lvlJc w:val="left"/>
      <w:pPr>
        <w:tabs>
          <w:tab w:val="num" w:pos="2160"/>
        </w:tabs>
        <w:ind w:left="2160" w:hanging="360"/>
      </w:pPr>
      <w:rPr>
        <w:rFonts w:ascii="Arial" w:hAnsi="Arial" w:hint="default"/>
      </w:rPr>
    </w:lvl>
    <w:lvl w:ilvl="3" w:tplc="97E25FF4">
      <w:start w:val="1"/>
      <w:numFmt w:val="bullet"/>
      <w:lvlText w:val="•"/>
      <w:lvlJc w:val="left"/>
      <w:pPr>
        <w:tabs>
          <w:tab w:val="num" w:pos="2880"/>
        </w:tabs>
        <w:ind w:left="2880" w:hanging="360"/>
      </w:pPr>
      <w:rPr>
        <w:rFonts w:ascii="Arial" w:hAnsi="Arial" w:hint="default"/>
      </w:rPr>
    </w:lvl>
    <w:lvl w:ilvl="4" w:tplc="6E669980" w:tentative="1">
      <w:start w:val="1"/>
      <w:numFmt w:val="bullet"/>
      <w:lvlText w:val="•"/>
      <w:lvlJc w:val="left"/>
      <w:pPr>
        <w:tabs>
          <w:tab w:val="num" w:pos="3600"/>
        </w:tabs>
        <w:ind w:left="3600" w:hanging="360"/>
      </w:pPr>
      <w:rPr>
        <w:rFonts w:ascii="Arial" w:hAnsi="Arial" w:hint="default"/>
      </w:rPr>
    </w:lvl>
    <w:lvl w:ilvl="5" w:tplc="5D587EC4" w:tentative="1">
      <w:start w:val="1"/>
      <w:numFmt w:val="bullet"/>
      <w:lvlText w:val="•"/>
      <w:lvlJc w:val="left"/>
      <w:pPr>
        <w:tabs>
          <w:tab w:val="num" w:pos="4320"/>
        </w:tabs>
        <w:ind w:left="4320" w:hanging="360"/>
      </w:pPr>
      <w:rPr>
        <w:rFonts w:ascii="Arial" w:hAnsi="Arial" w:hint="default"/>
      </w:rPr>
    </w:lvl>
    <w:lvl w:ilvl="6" w:tplc="8E26E4C4" w:tentative="1">
      <w:start w:val="1"/>
      <w:numFmt w:val="bullet"/>
      <w:lvlText w:val="•"/>
      <w:lvlJc w:val="left"/>
      <w:pPr>
        <w:tabs>
          <w:tab w:val="num" w:pos="5040"/>
        </w:tabs>
        <w:ind w:left="5040" w:hanging="360"/>
      </w:pPr>
      <w:rPr>
        <w:rFonts w:ascii="Arial" w:hAnsi="Arial" w:hint="default"/>
      </w:rPr>
    </w:lvl>
    <w:lvl w:ilvl="7" w:tplc="AE1273EA" w:tentative="1">
      <w:start w:val="1"/>
      <w:numFmt w:val="bullet"/>
      <w:lvlText w:val="•"/>
      <w:lvlJc w:val="left"/>
      <w:pPr>
        <w:tabs>
          <w:tab w:val="num" w:pos="5760"/>
        </w:tabs>
        <w:ind w:left="5760" w:hanging="360"/>
      </w:pPr>
      <w:rPr>
        <w:rFonts w:ascii="Arial" w:hAnsi="Arial" w:hint="default"/>
      </w:rPr>
    </w:lvl>
    <w:lvl w:ilvl="8" w:tplc="3CDC12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5D399E"/>
    <w:multiLevelType w:val="hybridMultilevel"/>
    <w:tmpl w:val="42D8C480"/>
    <w:lvl w:ilvl="0" w:tplc="1BB09E0E">
      <w:start w:val="1"/>
      <w:numFmt w:val="bullet"/>
      <w:lvlText w:val="•"/>
      <w:lvlJc w:val="left"/>
      <w:pPr>
        <w:tabs>
          <w:tab w:val="num" w:pos="720"/>
        </w:tabs>
        <w:ind w:left="720" w:hanging="360"/>
      </w:pPr>
      <w:rPr>
        <w:rFonts w:ascii="Arial" w:hAnsi="Arial" w:hint="default"/>
      </w:rPr>
    </w:lvl>
    <w:lvl w:ilvl="1" w:tplc="304C4F1C" w:tentative="1">
      <w:start w:val="1"/>
      <w:numFmt w:val="bullet"/>
      <w:lvlText w:val="•"/>
      <w:lvlJc w:val="left"/>
      <w:pPr>
        <w:tabs>
          <w:tab w:val="num" w:pos="1440"/>
        </w:tabs>
        <w:ind w:left="1440" w:hanging="360"/>
      </w:pPr>
      <w:rPr>
        <w:rFonts w:ascii="Arial" w:hAnsi="Arial" w:hint="default"/>
      </w:rPr>
    </w:lvl>
    <w:lvl w:ilvl="2" w:tplc="33A01142" w:tentative="1">
      <w:start w:val="1"/>
      <w:numFmt w:val="bullet"/>
      <w:lvlText w:val="•"/>
      <w:lvlJc w:val="left"/>
      <w:pPr>
        <w:tabs>
          <w:tab w:val="num" w:pos="2160"/>
        </w:tabs>
        <w:ind w:left="2160" w:hanging="360"/>
      </w:pPr>
      <w:rPr>
        <w:rFonts w:ascii="Arial" w:hAnsi="Arial" w:hint="default"/>
      </w:rPr>
    </w:lvl>
    <w:lvl w:ilvl="3" w:tplc="8CE4B3A0" w:tentative="1">
      <w:start w:val="1"/>
      <w:numFmt w:val="bullet"/>
      <w:lvlText w:val="•"/>
      <w:lvlJc w:val="left"/>
      <w:pPr>
        <w:tabs>
          <w:tab w:val="num" w:pos="2880"/>
        </w:tabs>
        <w:ind w:left="2880" w:hanging="360"/>
      </w:pPr>
      <w:rPr>
        <w:rFonts w:ascii="Arial" w:hAnsi="Arial" w:hint="default"/>
      </w:rPr>
    </w:lvl>
    <w:lvl w:ilvl="4" w:tplc="A65A35D2" w:tentative="1">
      <w:start w:val="1"/>
      <w:numFmt w:val="bullet"/>
      <w:lvlText w:val="•"/>
      <w:lvlJc w:val="left"/>
      <w:pPr>
        <w:tabs>
          <w:tab w:val="num" w:pos="3600"/>
        </w:tabs>
        <w:ind w:left="3600" w:hanging="360"/>
      </w:pPr>
      <w:rPr>
        <w:rFonts w:ascii="Arial" w:hAnsi="Arial" w:hint="default"/>
      </w:rPr>
    </w:lvl>
    <w:lvl w:ilvl="5" w:tplc="1E64467C" w:tentative="1">
      <w:start w:val="1"/>
      <w:numFmt w:val="bullet"/>
      <w:lvlText w:val="•"/>
      <w:lvlJc w:val="left"/>
      <w:pPr>
        <w:tabs>
          <w:tab w:val="num" w:pos="4320"/>
        </w:tabs>
        <w:ind w:left="4320" w:hanging="360"/>
      </w:pPr>
      <w:rPr>
        <w:rFonts w:ascii="Arial" w:hAnsi="Arial" w:hint="default"/>
      </w:rPr>
    </w:lvl>
    <w:lvl w:ilvl="6" w:tplc="5EA8E17A" w:tentative="1">
      <w:start w:val="1"/>
      <w:numFmt w:val="bullet"/>
      <w:lvlText w:val="•"/>
      <w:lvlJc w:val="left"/>
      <w:pPr>
        <w:tabs>
          <w:tab w:val="num" w:pos="5040"/>
        </w:tabs>
        <w:ind w:left="5040" w:hanging="360"/>
      </w:pPr>
      <w:rPr>
        <w:rFonts w:ascii="Arial" w:hAnsi="Arial" w:hint="default"/>
      </w:rPr>
    </w:lvl>
    <w:lvl w:ilvl="7" w:tplc="A4AABBF0" w:tentative="1">
      <w:start w:val="1"/>
      <w:numFmt w:val="bullet"/>
      <w:lvlText w:val="•"/>
      <w:lvlJc w:val="left"/>
      <w:pPr>
        <w:tabs>
          <w:tab w:val="num" w:pos="5760"/>
        </w:tabs>
        <w:ind w:left="5760" w:hanging="360"/>
      </w:pPr>
      <w:rPr>
        <w:rFonts w:ascii="Arial" w:hAnsi="Arial" w:hint="default"/>
      </w:rPr>
    </w:lvl>
    <w:lvl w:ilvl="8" w:tplc="6B3A02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3432E"/>
    <w:multiLevelType w:val="hybridMultilevel"/>
    <w:tmpl w:val="FCFCE700"/>
    <w:lvl w:ilvl="0" w:tplc="904C2206">
      <w:start w:val="1"/>
      <w:numFmt w:val="bullet"/>
      <w:lvlText w:val="•"/>
      <w:lvlJc w:val="left"/>
      <w:pPr>
        <w:tabs>
          <w:tab w:val="num" w:pos="720"/>
        </w:tabs>
        <w:ind w:left="720" w:hanging="360"/>
      </w:pPr>
      <w:rPr>
        <w:rFonts w:ascii="Arial" w:hAnsi="Arial" w:hint="default"/>
      </w:rPr>
    </w:lvl>
    <w:lvl w:ilvl="1" w:tplc="C360C886">
      <w:numFmt w:val="bullet"/>
      <w:lvlText w:val="–"/>
      <w:lvlJc w:val="left"/>
      <w:pPr>
        <w:tabs>
          <w:tab w:val="num" w:pos="1440"/>
        </w:tabs>
        <w:ind w:left="1440" w:hanging="360"/>
      </w:pPr>
      <w:rPr>
        <w:rFonts w:ascii="Arial" w:hAnsi="Arial" w:hint="default"/>
      </w:rPr>
    </w:lvl>
    <w:lvl w:ilvl="2" w:tplc="5C325E72">
      <w:start w:val="1"/>
      <w:numFmt w:val="bullet"/>
      <w:lvlText w:val="•"/>
      <w:lvlJc w:val="left"/>
      <w:pPr>
        <w:tabs>
          <w:tab w:val="num" w:pos="2160"/>
        </w:tabs>
        <w:ind w:left="2160" w:hanging="360"/>
      </w:pPr>
      <w:rPr>
        <w:rFonts w:ascii="Arial" w:hAnsi="Arial" w:hint="default"/>
      </w:rPr>
    </w:lvl>
    <w:lvl w:ilvl="3" w:tplc="BD04E924">
      <w:start w:val="1"/>
      <w:numFmt w:val="bullet"/>
      <w:lvlText w:val="•"/>
      <w:lvlJc w:val="left"/>
      <w:pPr>
        <w:tabs>
          <w:tab w:val="num" w:pos="2880"/>
        </w:tabs>
        <w:ind w:left="2880" w:hanging="360"/>
      </w:pPr>
      <w:rPr>
        <w:rFonts w:ascii="Arial" w:hAnsi="Arial" w:hint="default"/>
      </w:rPr>
    </w:lvl>
    <w:lvl w:ilvl="4" w:tplc="AE5EE72C" w:tentative="1">
      <w:start w:val="1"/>
      <w:numFmt w:val="bullet"/>
      <w:lvlText w:val="•"/>
      <w:lvlJc w:val="left"/>
      <w:pPr>
        <w:tabs>
          <w:tab w:val="num" w:pos="3600"/>
        </w:tabs>
        <w:ind w:left="3600" w:hanging="360"/>
      </w:pPr>
      <w:rPr>
        <w:rFonts w:ascii="Arial" w:hAnsi="Arial" w:hint="default"/>
      </w:rPr>
    </w:lvl>
    <w:lvl w:ilvl="5" w:tplc="081EBDCA" w:tentative="1">
      <w:start w:val="1"/>
      <w:numFmt w:val="bullet"/>
      <w:lvlText w:val="•"/>
      <w:lvlJc w:val="left"/>
      <w:pPr>
        <w:tabs>
          <w:tab w:val="num" w:pos="4320"/>
        </w:tabs>
        <w:ind w:left="4320" w:hanging="360"/>
      </w:pPr>
      <w:rPr>
        <w:rFonts w:ascii="Arial" w:hAnsi="Arial" w:hint="default"/>
      </w:rPr>
    </w:lvl>
    <w:lvl w:ilvl="6" w:tplc="8AAEA990" w:tentative="1">
      <w:start w:val="1"/>
      <w:numFmt w:val="bullet"/>
      <w:lvlText w:val="•"/>
      <w:lvlJc w:val="left"/>
      <w:pPr>
        <w:tabs>
          <w:tab w:val="num" w:pos="5040"/>
        </w:tabs>
        <w:ind w:left="5040" w:hanging="360"/>
      </w:pPr>
      <w:rPr>
        <w:rFonts w:ascii="Arial" w:hAnsi="Arial" w:hint="default"/>
      </w:rPr>
    </w:lvl>
    <w:lvl w:ilvl="7" w:tplc="A998CC76" w:tentative="1">
      <w:start w:val="1"/>
      <w:numFmt w:val="bullet"/>
      <w:lvlText w:val="•"/>
      <w:lvlJc w:val="left"/>
      <w:pPr>
        <w:tabs>
          <w:tab w:val="num" w:pos="5760"/>
        </w:tabs>
        <w:ind w:left="5760" w:hanging="360"/>
      </w:pPr>
      <w:rPr>
        <w:rFonts w:ascii="Arial" w:hAnsi="Arial" w:hint="default"/>
      </w:rPr>
    </w:lvl>
    <w:lvl w:ilvl="8" w:tplc="6194F2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1588E"/>
    <w:multiLevelType w:val="hybridMultilevel"/>
    <w:tmpl w:val="05EEC3EA"/>
    <w:lvl w:ilvl="0" w:tplc="8974C3A8">
      <w:start w:val="1"/>
      <w:numFmt w:val="bullet"/>
      <w:lvlText w:val="•"/>
      <w:lvlJc w:val="left"/>
      <w:pPr>
        <w:tabs>
          <w:tab w:val="num" w:pos="720"/>
        </w:tabs>
        <w:ind w:left="720" w:hanging="360"/>
      </w:pPr>
      <w:rPr>
        <w:rFonts w:ascii="Arial" w:hAnsi="Arial" w:hint="default"/>
      </w:rPr>
    </w:lvl>
    <w:lvl w:ilvl="1" w:tplc="A18E4E34">
      <w:numFmt w:val="bullet"/>
      <w:lvlText w:val="–"/>
      <w:lvlJc w:val="left"/>
      <w:pPr>
        <w:tabs>
          <w:tab w:val="num" w:pos="1440"/>
        </w:tabs>
        <w:ind w:left="1440" w:hanging="360"/>
      </w:pPr>
      <w:rPr>
        <w:rFonts w:ascii="Arial" w:hAnsi="Arial" w:hint="default"/>
      </w:rPr>
    </w:lvl>
    <w:lvl w:ilvl="2" w:tplc="A4528F46">
      <w:numFmt w:val="bullet"/>
      <w:lvlText w:val="•"/>
      <w:lvlJc w:val="left"/>
      <w:pPr>
        <w:tabs>
          <w:tab w:val="num" w:pos="2160"/>
        </w:tabs>
        <w:ind w:left="2160" w:hanging="360"/>
      </w:pPr>
      <w:rPr>
        <w:rFonts w:ascii="Arial" w:hAnsi="Arial" w:hint="default"/>
      </w:rPr>
    </w:lvl>
    <w:lvl w:ilvl="3" w:tplc="DB20E9C2">
      <w:start w:val="1"/>
      <w:numFmt w:val="bullet"/>
      <w:lvlText w:val="•"/>
      <w:lvlJc w:val="left"/>
      <w:pPr>
        <w:tabs>
          <w:tab w:val="num" w:pos="2880"/>
        </w:tabs>
        <w:ind w:left="2880" w:hanging="360"/>
      </w:pPr>
      <w:rPr>
        <w:rFonts w:ascii="Arial" w:hAnsi="Arial" w:hint="default"/>
      </w:rPr>
    </w:lvl>
    <w:lvl w:ilvl="4" w:tplc="70B8E02C" w:tentative="1">
      <w:start w:val="1"/>
      <w:numFmt w:val="bullet"/>
      <w:lvlText w:val="•"/>
      <w:lvlJc w:val="left"/>
      <w:pPr>
        <w:tabs>
          <w:tab w:val="num" w:pos="3600"/>
        </w:tabs>
        <w:ind w:left="3600" w:hanging="360"/>
      </w:pPr>
      <w:rPr>
        <w:rFonts w:ascii="Arial" w:hAnsi="Arial" w:hint="default"/>
      </w:rPr>
    </w:lvl>
    <w:lvl w:ilvl="5" w:tplc="B312662C" w:tentative="1">
      <w:start w:val="1"/>
      <w:numFmt w:val="bullet"/>
      <w:lvlText w:val="•"/>
      <w:lvlJc w:val="left"/>
      <w:pPr>
        <w:tabs>
          <w:tab w:val="num" w:pos="4320"/>
        </w:tabs>
        <w:ind w:left="4320" w:hanging="360"/>
      </w:pPr>
      <w:rPr>
        <w:rFonts w:ascii="Arial" w:hAnsi="Arial" w:hint="default"/>
      </w:rPr>
    </w:lvl>
    <w:lvl w:ilvl="6" w:tplc="36968A20" w:tentative="1">
      <w:start w:val="1"/>
      <w:numFmt w:val="bullet"/>
      <w:lvlText w:val="•"/>
      <w:lvlJc w:val="left"/>
      <w:pPr>
        <w:tabs>
          <w:tab w:val="num" w:pos="5040"/>
        </w:tabs>
        <w:ind w:left="5040" w:hanging="360"/>
      </w:pPr>
      <w:rPr>
        <w:rFonts w:ascii="Arial" w:hAnsi="Arial" w:hint="default"/>
      </w:rPr>
    </w:lvl>
    <w:lvl w:ilvl="7" w:tplc="6E0E73B6" w:tentative="1">
      <w:start w:val="1"/>
      <w:numFmt w:val="bullet"/>
      <w:lvlText w:val="•"/>
      <w:lvlJc w:val="left"/>
      <w:pPr>
        <w:tabs>
          <w:tab w:val="num" w:pos="5760"/>
        </w:tabs>
        <w:ind w:left="5760" w:hanging="360"/>
      </w:pPr>
      <w:rPr>
        <w:rFonts w:ascii="Arial" w:hAnsi="Arial" w:hint="default"/>
      </w:rPr>
    </w:lvl>
    <w:lvl w:ilvl="8" w:tplc="8242BE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F7014D"/>
    <w:multiLevelType w:val="hybridMultilevel"/>
    <w:tmpl w:val="215AC6D2"/>
    <w:lvl w:ilvl="0" w:tplc="10584C68">
      <w:start w:val="1"/>
      <w:numFmt w:val="bullet"/>
      <w:lvlText w:val="•"/>
      <w:lvlJc w:val="left"/>
      <w:pPr>
        <w:tabs>
          <w:tab w:val="num" w:pos="360"/>
        </w:tabs>
        <w:ind w:left="360" w:hanging="360"/>
      </w:pPr>
      <w:rPr>
        <w:rFonts w:ascii="Arial" w:hAnsi="Arial" w:hint="default"/>
      </w:rPr>
    </w:lvl>
    <w:lvl w:ilvl="1" w:tplc="94029D18">
      <w:numFmt w:val="bullet"/>
      <w:lvlText w:val="–"/>
      <w:lvlJc w:val="left"/>
      <w:pPr>
        <w:tabs>
          <w:tab w:val="num" w:pos="1080"/>
        </w:tabs>
        <w:ind w:left="1080" w:hanging="360"/>
      </w:pPr>
      <w:rPr>
        <w:rFonts w:ascii="Arial" w:hAnsi="Arial" w:hint="default"/>
      </w:rPr>
    </w:lvl>
    <w:lvl w:ilvl="2" w:tplc="4AF27F22">
      <w:numFmt w:val="bullet"/>
      <w:lvlText w:val="•"/>
      <w:lvlJc w:val="left"/>
      <w:pPr>
        <w:tabs>
          <w:tab w:val="num" w:pos="1800"/>
        </w:tabs>
        <w:ind w:left="1800" w:hanging="360"/>
      </w:pPr>
      <w:rPr>
        <w:rFonts w:ascii="Arial" w:hAnsi="Arial" w:hint="default"/>
      </w:rPr>
    </w:lvl>
    <w:lvl w:ilvl="3" w:tplc="9C18C222">
      <w:start w:val="1"/>
      <w:numFmt w:val="bullet"/>
      <w:lvlText w:val="•"/>
      <w:lvlJc w:val="left"/>
      <w:pPr>
        <w:tabs>
          <w:tab w:val="num" w:pos="2520"/>
        </w:tabs>
        <w:ind w:left="2520" w:hanging="360"/>
      </w:pPr>
      <w:rPr>
        <w:rFonts w:ascii="Arial" w:hAnsi="Arial" w:hint="default"/>
      </w:rPr>
    </w:lvl>
    <w:lvl w:ilvl="4" w:tplc="2A5A39DC" w:tentative="1">
      <w:start w:val="1"/>
      <w:numFmt w:val="bullet"/>
      <w:lvlText w:val="•"/>
      <w:lvlJc w:val="left"/>
      <w:pPr>
        <w:tabs>
          <w:tab w:val="num" w:pos="3240"/>
        </w:tabs>
        <w:ind w:left="3240" w:hanging="360"/>
      </w:pPr>
      <w:rPr>
        <w:rFonts w:ascii="Arial" w:hAnsi="Arial" w:hint="default"/>
      </w:rPr>
    </w:lvl>
    <w:lvl w:ilvl="5" w:tplc="3852262C" w:tentative="1">
      <w:start w:val="1"/>
      <w:numFmt w:val="bullet"/>
      <w:lvlText w:val="•"/>
      <w:lvlJc w:val="left"/>
      <w:pPr>
        <w:tabs>
          <w:tab w:val="num" w:pos="3960"/>
        </w:tabs>
        <w:ind w:left="3960" w:hanging="360"/>
      </w:pPr>
      <w:rPr>
        <w:rFonts w:ascii="Arial" w:hAnsi="Arial" w:hint="default"/>
      </w:rPr>
    </w:lvl>
    <w:lvl w:ilvl="6" w:tplc="D0A24CD4" w:tentative="1">
      <w:start w:val="1"/>
      <w:numFmt w:val="bullet"/>
      <w:lvlText w:val="•"/>
      <w:lvlJc w:val="left"/>
      <w:pPr>
        <w:tabs>
          <w:tab w:val="num" w:pos="4680"/>
        </w:tabs>
        <w:ind w:left="4680" w:hanging="360"/>
      </w:pPr>
      <w:rPr>
        <w:rFonts w:ascii="Arial" w:hAnsi="Arial" w:hint="default"/>
      </w:rPr>
    </w:lvl>
    <w:lvl w:ilvl="7" w:tplc="EDE88A1E" w:tentative="1">
      <w:start w:val="1"/>
      <w:numFmt w:val="bullet"/>
      <w:lvlText w:val="•"/>
      <w:lvlJc w:val="left"/>
      <w:pPr>
        <w:tabs>
          <w:tab w:val="num" w:pos="5400"/>
        </w:tabs>
        <w:ind w:left="5400" w:hanging="360"/>
      </w:pPr>
      <w:rPr>
        <w:rFonts w:ascii="Arial" w:hAnsi="Arial" w:hint="default"/>
      </w:rPr>
    </w:lvl>
    <w:lvl w:ilvl="8" w:tplc="05CA605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C0D24E9"/>
    <w:multiLevelType w:val="hybridMultilevel"/>
    <w:tmpl w:val="6DD84ED2"/>
    <w:lvl w:ilvl="0" w:tplc="3B769A00">
      <w:start w:val="1"/>
      <w:numFmt w:val="bullet"/>
      <w:lvlText w:val="–"/>
      <w:lvlJc w:val="left"/>
      <w:pPr>
        <w:tabs>
          <w:tab w:val="num" w:pos="720"/>
        </w:tabs>
        <w:ind w:left="720" w:hanging="360"/>
      </w:pPr>
      <w:rPr>
        <w:rFonts w:ascii="Arial" w:hAnsi="Arial" w:hint="default"/>
      </w:rPr>
    </w:lvl>
    <w:lvl w:ilvl="1" w:tplc="748A6402">
      <w:start w:val="1"/>
      <w:numFmt w:val="bullet"/>
      <w:lvlText w:val="–"/>
      <w:lvlJc w:val="left"/>
      <w:pPr>
        <w:tabs>
          <w:tab w:val="num" w:pos="1440"/>
        </w:tabs>
        <w:ind w:left="1440" w:hanging="360"/>
      </w:pPr>
      <w:rPr>
        <w:rFonts w:ascii="Arial" w:hAnsi="Arial" w:hint="default"/>
      </w:rPr>
    </w:lvl>
    <w:lvl w:ilvl="2" w:tplc="097AC9AC">
      <w:numFmt w:val="bullet"/>
      <w:lvlText w:val="•"/>
      <w:lvlJc w:val="left"/>
      <w:pPr>
        <w:tabs>
          <w:tab w:val="num" w:pos="2160"/>
        </w:tabs>
        <w:ind w:left="2160" w:hanging="360"/>
      </w:pPr>
      <w:rPr>
        <w:rFonts w:ascii="Arial" w:hAnsi="Arial" w:hint="default"/>
      </w:rPr>
    </w:lvl>
    <w:lvl w:ilvl="3" w:tplc="4260DE78" w:tentative="1">
      <w:start w:val="1"/>
      <w:numFmt w:val="bullet"/>
      <w:lvlText w:val="–"/>
      <w:lvlJc w:val="left"/>
      <w:pPr>
        <w:tabs>
          <w:tab w:val="num" w:pos="2880"/>
        </w:tabs>
        <w:ind w:left="2880" w:hanging="360"/>
      </w:pPr>
      <w:rPr>
        <w:rFonts w:ascii="Arial" w:hAnsi="Arial" w:hint="default"/>
      </w:rPr>
    </w:lvl>
    <w:lvl w:ilvl="4" w:tplc="234A5048" w:tentative="1">
      <w:start w:val="1"/>
      <w:numFmt w:val="bullet"/>
      <w:lvlText w:val="–"/>
      <w:lvlJc w:val="left"/>
      <w:pPr>
        <w:tabs>
          <w:tab w:val="num" w:pos="3600"/>
        </w:tabs>
        <w:ind w:left="3600" w:hanging="360"/>
      </w:pPr>
      <w:rPr>
        <w:rFonts w:ascii="Arial" w:hAnsi="Arial" w:hint="default"/>
      </w:rPr>
    </w:lvl>
    <w:lvl w:ilvl="5" w:tplc="435C74AC" w:tentative="1">
      <w:start w:val="1"/>
      <w:numFmt w:val="bullet"/>
      <w:lvlText w:val="–"/>
      <w:lvlJc w:val="left"/>
      <w:pPr>
        <w:tabs>
          <w:tab w:val="num" w:pos="4320"/>
        </w:tabs>
        <w:ind w:left="4320" w:hanging="360"/>
      </w:pPr>
      <w:rPr>
        <w:rFonts w:ascii="Arial" w:hAnsi="Arial" w:hint="default"/>
      </w:rPr>
    </w:lvl>
    <w:lvl w:ilvl="6" w:tplc="5FD04A46" w:tentative="1">
      <w:start w:val="1"/>
      <w:numFmt w:val="bullet"/>
      <w:lvlText w:val="–"/>
      <w:lvlJc w:val="left"/>
      <w:pPr>
        <w:tabs>
          <w:tab w:val="num" w:pos="5040"/>
        </w:tabs>
        <w:ind w:left="5040" w:hanging="360"/>
      </w:pPr>
      <w:rPr>
        <w:rFonts w:ascii="Arial" w:hAnsi="Arial" w:hint="default"/>
      </w:rPr>
    </w:lvl>
    <w:lvl w:ilvl="7" w:tplc="F34430EC" w:tentative="1">
      <w:start w:val="1"/>
      <w:numFmt w:val="bullet"/>
      <w:lvlText w:val="–"/>
      <w:lvlJc w:val="left"/>
      <w:pPr>
        <w:tabs>
          <w:tab w:val="num" w:pos="5760"/>
        </w:tabs>
        <w:ind w:left="5760" w:hanging="360"/>
      </w:pPr>
      <w:rPr>
        <w:rFonts w:ascii="Arial" w:hAnsi="Arial" w:hint="default"/>
      </w:rPr>
    </w:lvl>
    <w:lvl w:ilvl="8" w:tplc="1A9420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323674C8"/>
    <w:multiLevelType w:val="hybridMultilevel"/>
    <w:tmpl w:val="B9FA4ABE"/>
    <w:lvl w:ilvl="0" w:tplc="DC62573C">
      <w:start w:val="1"/>
      <w:numFmt w:val="bullet"/>
      <w:lvlText w:val="–"/>
      <w:lvlJc w:val="left"/>
      <w:pPr>
        <w:tabs>
          <w:tab w:val="num" w:pos="720"/>
        </w:tabs>
        <w:ind w:left="720" w:hanging="360"/>
      </w:pPr>
      <w:rPr>
        <w:rFonts w:ascii="Arial" w:hAnsi="Arial" w:hint="default"/>
      </w:rPr>
    </w:lvl>
    <w:lvl w:ilvl="1" w:tplc="2C92633A">
      <w:start w:val="1"/>
      <w:numFmt w:val="bullet"/>
      <w:lvlText w:val="–"/>
      <w:lvlJc w:val="left"/>
      <w:pPr>
        <w:tabs>
          <w:tab w:val="num" w:pos="1440"/>
        </w:tabs>
        <w:ind w:left="1440" w:hanging="360"/>
      </w:pPr>
      <w:rPr>
        <w:rFonts w:ascii="Arial" w:hAnsi="Arial" w:hint="default"/>
      </w:rPr>
    </w:lvl>
    <w:lvl w:ilvl="2" w:tplc="217CDED2" w:tentative="1">
      <w:start w:val="1"/>
      <w:numFmt w:val="bullet"/>
      <w:lvlText w:val="–"/>
      <w:lvlJc w:val="left"/>
      <w:pPr>
        <w:tabs>
          <w:tab w:val="num" w:pos="2160"/>
        </w:tabs>
        <w:ind w:left="2160" w:hanging="360"/>
      </w:pPr>
      <w:rPr>
        <w:rFonts w:ascii="Arial" w:hAnsi="Arial" w:hint="default"/>
      </w:rPr>
    </w:lvl>
    <w:lvl w:ilvl="3" w:tplc="C1DE05F6" w:tentative="1">
      <w:start w:val="1"/>
      <w:numFmt w:val="bullet"/>
      <w:lvlText w:val="–"/>
      <w:lvlJc w:val="left"/>
      <w:pPr>
        <w:tabs>
          <w:tab w:val="num" w:pos="2880"/>
        </w:tabs>
        <w:ind w:left="2880" w:hanging="360"/>
      </w:pPr>
      <w:rPr>
        <w:rFonts w:ascii="Arial" w:hAnsi="Arial" w:hint="default"/>
      </w:rPr>
    </w:lvl>
    <w:lvl w:ilvl="4" w:tplc="321012BC" w:tentative="1">
      <w:start w:val="1"/>
      <w:numFmt w:val="bullet"/>
      <w:lvlText w:val="–"/>
      <w:lvlJc w:val="left"/>
      <w:pPr>
        <w:tabs>
          <w:tab w:val="num" w:pos="3600"/>
        </w:tabs>
        <w:ind w:left="3600" w:hanging="360"/>
      </w:pPr>
      <w:rPr>
        <w:rFonts w:ascii="Arial" w:hAnsi="Arial" w:hint="default"/>
      </w:rPr>
    </w:lvl>
    <w:lvl w:ilvl="5" w:tplc="2020BAD2" w:tentative="1">
      <w:start w:val="1"/>
      <w:numFmt w:val="bullet"/>
      <w:lvlText w:val="–"/>
      <w:lvlJc w:val="left"/>
      <w:pPr>
        <w:tabs>
          <w:tab w:val="num" w:pos="4320"/>
        </w:tabs>
        <w:ind w:left="4320" w:hanging="360"/>
      </w:pPr>
      <w:rPr>
        <w:rFonts w:ascii="Arial" w:hAnsi="Arial" w:hint="default"/>
      </w:rPr>
    </w:lvl>
    <w:lvl w:ilvl="6" w:tplc="8BD29854" w:tentative="1">
      <w:start w:val="1"/>
      <w:numFmt w:val="bullet"/>
      <w:lvlText w:val="–"/>
      <w:lvlJc w:val="left"/>
      <w:pPr>
        <w:tabs>
          <w:tab w:val="num" w:pos="5040"/>
        </w:tabs>
        <w:ind w:left="5040" w:hanging="360"/>
      </w:pPr>
      <w:rPr>
        <w:rFonts w:ascii="Arial" w:hAnsi="Arial" w:hint="default"/>
      </w:rPr>
    </w:lvl>
    <w:lvl w:ilvl="7" w:tplc="626428D4" w:tentative="1">
      <w:start w:val="1"/>
      <w:numFmt w:val="bullet"/>
      <w:lvlText w:val="–"/>
      <w:lvlJc w:val="left"/>
      <w:pPr>
        <w:tabs>
          <w:tab w:val="num" w:pos="5760"/>
        </w:tabs>
        <w:ind w:left="5760" w:hanging="360"/>
      </w:pPr>
      <w:rPr>
        <w:rFonts w:ascii="Arial" w:hAnsi="Arial" w:hint="default"/>
      </w:rPr>
    </w:lvl>
    <w:lvl w:ilvl="8" w:tplc="B5F03A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501A8C"/>
    <w:multiLevelType w:val="hybridMultilevel"/>
    <w:tmpl w:val="47283A34"/>
    <w:lvl w:ilvl="0" w:tplc="51EE89CA">
      <w:start w:val="1"/>
      <w:numFmt w:val="bullet"/>
      <w:lvlText w:val="•"/>
      <w:lvlJc w:val="left"/>
      <w:pPr>
        <w:tabs>
          <w:tab w:val="num" w:pos="720"/>
        </w:tabs>
        <w:ind w:left="720" w:hanging="360"/>
      </w:pPr>
      <w:rPr>
        <w:rFonts w:ascii="Arial" w:hAnsi="Arial" w:hint="default"/>
      </w:rPr>
    </w:lvl>
    <w:lvl w:ilvl="1" w:tplc="97EA746E">
      <w:numFmt w:val="bullet"/>
      <w:lvlText w:val="–"/>
      <w:lvlJc w:val="left"/>
      <w:pPr>
        <w:tabs>
          <w:tab w:val="num" w:pos="1440"/>
        </w:tabs>
        <w:ind w:left="1440" w:hanging="360"/>
      </w:pPr>
      <w:rPr>
        <w:rFonts w:ascii="Arial" w:hAnsi="Arial" w:hint="default"/>
      </w:rPr>
    </w:lvl>
    <w:lvl w:ilvl="2" w:tplc="41441806">
      <w:start w:val="1"/>
      <w:numFmt w:val="bullet"/>
      <w:lvlText w:val="•"/>
      <w:lvlJc w:val="left"/>
      <w:pPr>
        <w:tabs>
          <w:tab w:val="num" w:pos="2160"/>
        </w:tabs>
        <w:ind w:left="2160" w:hanging="360"/>
      </w:pPr>
      <w:rPr>
        <w:rFonts w:ascii="Arial" w:hAnsi="Arial" w:hint="default"/>
      </w:rPr>
    </w:lvl>
    <w:lvl w:ilvl="3" w:tplc="24DA1F74">
      <w:start w:val="1"/>
      <w:numFmt w:val="bullet"/>
      <w:lvlText w:val="•"/>
      <w:lvlJc w:val="left"/>
      <w:pPr>
        <w:tabs>
          <w:tab w:val="num" w:pos="2880"/>
        </w:tabs>
        <w:ind w:left="2880" w:hanging="360"/>
      </w:pPr>
      <w:rPr>
        <w:rFonts w:ascii="Arial" w:hAnsi="Arial" w:hint="default"/>
      </w:rPr>
    </w:lvl>
    <w:lvl w:ilvl="4" w:tplc="EC7CDDC6" w:tentative="1">
      <w:start w:val="1"/>
      <w:numFmt w:val="bullet"/>
      <w:lvlText w:val="•"/>
      <w:lvlJc w:val="left"/>
      <w:pPr>
        <w:tabs>
          <w:tab w:val="num" w:pos="3600"/>
        </w:tabs>
        <w:ind w:left="3600" w:hanging="360"/>
      </w:pPr>
      <w:rPr>
        <w:rFonts w:ascii="Arial" w:hAnsi="Arial" w:hint="default"/>
      </w:rPr>
    </w:lvl>
    <w:lvl w:ilvl="5" w:tplc="6F7ED360" w:tentative="1">
      <w:start w:val="1"/>
      <w:numFmt w:val="bullet"/>
      <w:lvlText w:val="•"/>
      <w:lvlJc w:val="left"/>
      <w:pPr>
        <w:tabs>
          <w:tab w:val="num" w:pos="4320"/>
        </w:tabs>
        <w:ind w:left="4320" w:hanging="360"/>
      </w:pPr>
      <w:rPr>
        <w:rFonts w:ascii="Arial" w:hAnsi="Arial" w:hint="default"/>
      </w:rPr>
    </w:lvl>
    <w:lvl w:ilvl="6" w:tplc="A8B811A2" w:tentative="1">
      <w:start w:val="1"/>
      <w:numFmt w:val="bullet"/>
      <w:lvlText w:val="•"/>
      <w:lvlJc w:val="left"/>
      <w:pPr>
        <w:tabs>
          <w:tab w:val="num" w:pos="5040"/>
        </w:tabs>
        <w:ind w:left="5040" w:hanging="360"/>
      </w:pPr>
      <w:rPr>
        <w:rFonts w:ascii="Arial" w:hAnsi="Arial" w:hint="default"/>
      </w:rPr>
    </w:lvl>
    <w:lvl w:ilvl="7" w:tplc="EC307A5A" w:tentative="1">
      <w:start w:val="1"/>
      <w:numFmt w:val="bullet"/>
      <w:lvlText w:val="•"/>
      <w:lvlJc w:val="left"/>
      <w:pPr>
        <w:tabs>
          <w:tab w:val="num" w:pos="5760"/>
        </w:tabs>
        <w:ind w:left="5760" w:hanging="360"/>
      </w:pPr>
      <w:rPr>
        <w:rFonts w:ascii="Arial" w:hAnsi="Arial" w:hint="default"/>
      </w:rPr>
    </w:lvl>
    <w:lvl w:ilvl="8" w:tplc="2EBC37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2C61FA"/>
    <w:multiLevelType w:val="hybridMultilevel"/>
    <w:tmpl w:val="E3920328"/>
    <w:lvl w:ilvl="0" w:tplc="6172D83C">
      <w:start w:val="1"/>
      <w:numFmt w:val="bullet"/>
      <w:lvlText w:val="•"/>
      <w:lvlJc w:val="left"/>
      <w:pPr>
        <w:tabs>
          <w:tab w:val="num" w:pos="720"/>
        </w:tabs>
        <w:ind w:left="720" w:hanging="360"/>
      </w:pPr>
      <w:rPr>
        <w:rFonts w:ascii="Arial" w:hAnsi="Arial" w:hint="default"/>
      </w:rPr>
    </w:lvl>
    <w:lvl w:ilvl="1" w:tplc="3918D464">
      <w:numFmt w:val="bullet"/>
      <w:lvlText w:val="–"/>
      <w:lvlJc w:val="left"/>
      <w:pPr>
        <w:tabs>
          <w:tab w:val="num" w:pos="1440"/>
        </w:tabs>
        <w:ind w:left="1440" w:hanging="360"/>
      </w:pPr>
      <w:rPr>
        <w:rFonts w:ascii="Arial" w:hAnsi="Arial" w:hint="default"/>
      </w:rPr>
    </w:lvl>
    <w:lvl w:ilvl="2" w:tplc="7F4E3262">
      <w:start w:val="1"/>
      <w:numFmt w:val="bullet"/>
      <w:lvlText w:val="•"/>
      <w:lvlJc w:val="left"/>
      <w:pPr>
        <w:tabs>
          <w:tab w:val="num" w:pos="2160"/>
        </w:tabs>
        <w:ind w:left="2160" w:hanging="360"/>
      </w:pPr>
      <w:rPr>
        <w:rFonts w:ascii="Arial" w:hAnsi="Arial" w:hint="default"/>
      </w:rPr>
    </w:lvl>
    <w:lvl w:ilvl="3" w:tplc="5B121C28">
      <w:start w:val="1"/>
      <w:numFmt w:val="bullet"/>
      <w:lvlText w:val="•"/>
      <w:lvlJc w:val="left"/>
      <w:pPr>
        <w:tabs>
          <w:tab w:val="num" w:pos="2880"/>
        </w:tabs>
        <w:ind w:left="2880" w:hanging="360"/>
      </w:pPr>
      <w:rPr>
        <w:rFonts w:ascii="Arial" w:hAnsi="Arial" w:hint="default"/>
      </w:rPr>
    </w:lvl>
    <w:lvl w:ilvl="4" w:tplc="7302A1D8" w:tentative="1">
      <w:start w:val="1"/>
      <w:numFmt w:val="bullet"/>
      <w:lvlText w:val="•"/>
      <w:lvlJc w:val="left"/>
      <w:pPr>
        <w:tabs>
          <w:tab w:val="num" w:pos="3600"/>
        </w:tabs>
        <w:ind w:left="3600" w:hanging="360"/>
      </w:pPr>
      <w:rPr>
        <w:rFonts w:ascii="Arial" w:hAnsi="Arial" w:hint="default"/>
      </w:rPr>
    </w:lvl>
    <w:lvl w:ilvl="5" w:tplc="5BBE01B8" w:tentative="1">
      <w:start w:val="1"/>
      <w:numFmt w:val="bullet"/>
      <w:lvlText w:val="•"/>
      <w:lvlJc w:val="left"/>
      <w:pPr>
        <w:tabs>
          <w:tab w:val="num" w:pos="4320"/>
        </w:tabs>
        <w:ind w:left="4320" w:hanging="360"/>
      </w:pPr>
      <w:rPr>
        <w:rFonts w:ascii="Arial" w:hAnsi="Arial" w:hint="default"/>
      </w:rPr>
    </w:lvl>
    <w:lvl w:ilvl="6" w:tplc="2EFAA3FC" w:tentative="1">
      <w:start w:val="1"/>
      <w:numFmt w:val="bullet"/>
      <w:lvlText w:val="•"/>
      <w:lvlJc w:val="left"/>
      <w:pPr>
        <w:tabs>
          <w:tab w:val="num" w:pos="5040"/>
        </w:tabs>
        <w:ind w:left="5040" w:hanging="360"/>
      </w:pPr>
      <w:rPr>
        <w:rFonts w:ascii="Arial" w:hAnsi="Arial" w:hint="default"/>
      </w:rPr>
    </w:lvl>
    <w:lvl w:ilvl="7" w:tplc="925AFF9A" w:tentative="1">
      <w:start w:val="1"/>
      <w:numFmt w:val="bullet"/>
      <w:lvlText w:val="•"/>
      <w:lvlJc w:val="left"/>
      <w:pPr>
        <w:tabs>
          <w:tab w:val="num" w:pos="5760"/>
        </w:tabs>
        <w:ind w:left="5760" w:hanging="360"/>
      </w:pPr>
      <w:rPr>
        <w:rFonts w:ascii="Arial" w:hAnsi="Arial" w:hint="default"/>
      </w:rPr>
    </w:lvl>
    <w:lvl w:ilvl="8" w:tplc="4CF0E3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F6770"/>
    <w:multiLevelType w:val="hybridMultilevel"/>
    <w:tmpl w:val="79B8153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485C68"/>
    <w:multiLevelType w:val="hybridMultilevel"/>
    <w:tmpl w:val="ADF29628"/>
    <w:lvl w:ilvl="0" w:tplc="C1F0A410">
      <w:start w:val="5"/>
      <w:numFmt w:val="bullet"/>
      <w:lvlText w:val="-"/>
      <w:lvlJc w:val="left"/>
      <w:pPr>
        <w:ind w:left="360" w:hanging="360"/>
      </w:pPr>
      <w:rPr>
        <w:rFonts w:ascii="Times New Roman" w:eastAsia="宋体" w:hAnsi="Times New Roman" w:cs="Times New Roman" w:hint="default"/>
      </w:rPr>
    </w:lvl>
    <w:lvl w:ilvl="1" w:tplc="6E72A67C">
      <w:start w:val="240"/>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4302CBC"/>
    <w:multiLevelType w:val="hybridMultilevel"/>
    <w:tmpl w:val="D86061A2"/>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A263EB"/>
    <w:multiLevelType w:val="hybridMultilevel"/>
    <w:tmpl w:val="D390DA0A"/>
    <w:lvl w:ilvl="0" w:tplc="5060D75A">
      <w:start w:val="1"/>
      <w:numFmt w:val="bullet"/>
      <w:lvlText w:val="–"/>
      <w:lvlJc w:val="left"/>
      <w:pPr>
        <w:tabs>
          <w:tab w:val="num" w:pos="720"/>
        </w:tabs>
        <w:ind w:left="720" w:hanging="360"/>
      </w:pPr>
      <w:rPr>
        <w:rFonts w:ascii="Arial" w:hAnsi="Arial" w:hint="default"/>
      </w:rPr>
    </w:lvl>
    <w:lvl w:ilvl="1" w:tplc="47AABD12">
      <w:start w:val="1"/>
      <w:numFmt w:val="bullet"/>
      <w:lvlText w:val="–"/>
      <w:lvlJc w:val="left"/>
      <w:pPr>
        <w:tabs>
          <w:tab w:val="num" w:pos="1440"/>
        </w:tabs>
        <w:ind w:left="1440" w:hanging="360"/>
      </w:pPr>
      <w:rPr>
        <w:rFonts w:ascii="Arial" w:hAnsi="Arial" w:hint="default"/>
      </w:rPr>
    </w:lvl>
    <w:lvl w:ilvl="2" w:tplc="00BA2CF6">
      <w:numFmt w:val="bullet"/>
      <w:lvlText w:val="•"/>
      <w:lvlJc w:val="left"/>
      <w:pPr>
        <w:tabs>
          <w:tab w:val="num" w:pos="2160"/>
        </w:tabs>
        <w:ind w:left="2160" w:hanging="360"/>
      </w:pPr>
      <w:rPr>
        <w:rFonts w:ascii="Arial" w:hAnsi="Arial" w:hint="default"/>
      </w:rPr>
    </w:lvl>
    <w:lvl w:ilvl="3" w:tplc="4BCE9258" w:tentative="1">
      <w:start w:val="1"/>
      <w:numFmt w:val="bullet"/>
      <w:lvlText w:val="–"/>
      <w:lvlJc w:val="left"/>
      <w:pPr>
        <w:tabs>
          <w:tab w:val="num" w:pos="2880"/>
        </w:tabs>
        <w:ind w:left="2880" w:hanging="360"/>
      </w:pPr>
      <w:rPr>
        <w:rFonts w:ascii="Arial" w:hAnsi="Arial" w:hint="default"/>
      </w:rPr>
    </w:lvl>
    <w:lvl w:ilvl="4" w:tplc="ABC63E70" w:tentative="1">
      <w:start w:val="1"/>
      <w:numFmt w:val="bullet"/>
      <w:lvlText w:val="–"/>
      <w:lvlJc w:val="left"/>
      <w:pPr>
        <w:tabs>
          <w:tab w:val="num" w:pos="3600"/>
        </w:tabs>
        <w:ind w:left="3600" w:hanging="360"/>
      </w:pPr>
      <w:rPr>
        <w:rFonts w:ascii="Arial" w:hAnsi="Arial" w:hint="default"/>
      </w:rPr>
    </w:lvl>
    <w:lvl w:ilvl="5" w:tplc="DEF26406" w:tentative="1">
      <w:start w:val="1"/>
      <w:numFmt w:val="bullet"/>
      <w:lvlText w:val="–"/>
      <w:lvlJc w:val="left"/>
      <w:pPr>
        <w:tabs>
          <w:tab w:val="num" w:pos="4320"/>
        </w:tabs>
        <w:ind w:left="4320" w:hanging="360"/>
      </w:pPr>
      <w:rPr>
        <w:rFonts w:ascii="Arial" w:hAnsi="Arial" w:hint="default"/>
      </w:rPr>
    </w:lvl>
    <w:lvl w:ilvl="6" w:tplc="B1429F9C" w:tentative="1">
      <w:start w:val="1"/>
      <w:numFmt w:val="bullet"/>
      <w:lvlText w:val="–"/>
      <w:lvlJc w:val="left"/>
      <w:pPr>
        <w:tabs>
          <w:tab w:val="num" w:pos="5040"/>
        </w:tabs>
        <w:ind w:left="5040" w:hanging="360"/>
      </w:pPr>
      <w:rPr>
        <w:rFonts w:ascii="Arial" w:hAnsi="Arial" w:hint="default"/>
      </w:rPr>
    </w:lvl>
    <w:lvl w:ilvl="7" w:tplc="92649592" w:tentative="1">
      <w:start w:val="1"/>
      <w:numFmt w:val="bullet"/>
      <w:lvlText w:val="–"/>
      <w:lvlJc w:val="left"/>
      <w:pPr>
        <w:tabs>
          <w:tab w:val="num" w:pos="5760"/>
        </w:tabs>
        <w:ind w:left="5760" w:hanging="360"/>
      </w:pPr>
      <w:rPr>
        <w:rFonts w:ascii="Arial" w:hAnsi="Arial" w:hint="default"/>
      </w:rPr>
    </w:lvl>
    <w:lvl w:ilvl="8" w:tplc="B08A2E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B72245"/>
    <w:multiLevelType w:val="hybridMultilevel"/>
    <w:tmpl w:val="BCB4EE3E"/>
    <w:lvl w:ilvl="0" w:tplc="5D109F8A">
      <w:start w:val="1"/>
      <w:numFmt w:val="bullet"/>
      <w:lvlText w:val="•"/>
      <w:lvlJc w:val="left"/>
      <w:pPr>
        <w:tabs>
          <w:tab w:val="num" w:pos="720"/>
        </w:tabs>
        <w:ind w:left="720" w:hanging="360"/>
      </w:pPr>
      <w:rPr>
        <w:rFonts w:ascii="Arial" w:hAnsi="Arial" w:hint="default"/>
      </w:rPr>
    </w:lvl>
    <w:lvl w:ilvl="1" w:tplc="F74CC366">
      <w:numFmt w:val="bullet"/>
      <w:lvlText w:val="–"/>
      <w:lvlJc w:val="left"/>
      <w:pPr>
        <w:tabs>
          <w:tab w:val="num" w:pos="1440"/>
        </w:tabs>
        <w:ind w:left="1440" w:hanging="360"/>
      </w:pPr>
      <w:rPr>
        <w:rFonts w:ascii="Arial" w:hAnsi="Arial" w:hint="default"/>
      </w:rPr>
    </w:lvl>
    <w:lvl w:ilvl="2" w:tplc="B5E21332">
      <w:numFmt w:val="bullet"/>
      <w:lvlText w:val="•"/>
      <w:lvlJc w:val="left"/>
      <w:pPr>
        <w:tabs>
          <w:tab w:val="num" w:pos="2160"/>
        </w:tabs>
        <w:ind w:left="2160" w:hanging="360"/>
      </w:pPr>
      <w:rPr>
        <w:rFonts w:ascii="Arial" w:hAnsi="Arial" w:hint="default"/>
      </w:rPr>
    </w:lvl>
    <w:lvl w:ilvl="3" w:tplc="B5EE1D78">
      <w:start w:val="1"/>
      <w:numFmt w:val="bullet"/>
      <w:lvlText w:val="•"/>
      <w:lvlJc w:val="left"/>
      <w:pPr>
        <w:tabs>
          <w:tab w:val="num" w:pos="2880"/>
        </w:tabs>
        <w:ind w:left="2880" w:hanging="360"/>
      </w:pPr>
      <w:rPr>
        <w:rFonts w:ascii="Arial" w:hAnsi="Arial" w:hint="default"/>
      </w:rPr>
    </w:lvl>
    <w:lvl w:ilvl="4" w:tplc="E15069A2" w:tentative="1">
      <w:start w:val="1"/>
      <w:numFmt w:val="bullet"/>
      <w:lvlText w:val="•"/>
      <w:lvlJc w:val="left"/>
      <w:pPr>
        <w:tabs>
          <w:tab w:val="num" w:pos="3600"/>
        </w:tabs>
        <w:ind w:left="3600" w:hanging="360"/>
      </w:pPr>
      <w:rPr>
        <w:rFonts w:ascii="Arial" w:hAnsi="Arial" w:hint="default"/>
      </w:rPr>
    </w:lvl>
    <w:lvl w:ilvl="5" w:tplc="CB066480" w:tentative="1">
      <w:start w:val="1"/>
      <w:numFmt w:val="bullet"/>
      <w:lvlText w:val="•"/>
      <w:lvlJc w:val="left"/>
      <w:pPr>
        <w:tabs>
          <w:tab w:val="num" w:pos="4320"/>
        </w:tabs>
        <w:ind w:left="4320" w:hanging="360"/>
      </w:pPr>
      <w:rPr>
        <w:rFonts w:ascii="Arial" w:hAnsi="Arial" w:hint="default"/>
      </w:rPr>
    </w:lvl>
    <w:lvl w:ilvl="6" w:tplc="02EA0F42" w:tentative="1">
      <w:start w:val="1"/>
      <w:numFmt w:val="bullet"/>
      <w:lvlText w:val="•"/>
      <w:lvlJc w:val="left"/>
      <w:pPr>
        <w:tabs>
          <w:tab w:val="num" w:pos="5040"/>
        </w:tabs>
        <w:ind w:left="5040" w:hanging="360"/>
      </w:pPr>
      <w:rPr>
        <w:rFonts w:ascii="Arial" w:hAnsi="Arial" w:hint="default"/>
      </w:rPr>
    </w:lvl>
    <w:lvl w:ilvl="7" w:tplc="AA006FC0" w:tentative="1">
      <w:start w:val="1"/>
      <w:numFmt w:val="bullet"/>
      <w:lvlText w:val="•"/>
      <w:lvlJc w:val="left"/>
      <w:pPr>
        <w:tabs>
          <w:tab w:val="num" w:pos="5760"/>
        </w:tabs>
        <w:ind w:left="5760" w:hanging="360"/>
      </w:pPr>
      <w:rPr>
        <w:rFonts w:ascii="Arial" w:hAnsi="Arial" w:hint="default"/>
      </w:rPr>
    </w:lvl>
    <w:lvl w:ilvl="8" w:tplc="8EA4AC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DB69FD"/>
    <w:multiLevelType w:val="hybridMultilevel"/>
    <w:tmpl w:val="9D622A7A"/>
    <w:lvl w:ilvl="0" w:tplc="D3F034A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16ABD"/>
    <w:multiLevelType w:val="hybridMultilevel"/>
    <w:tmpl w:val="7CEA93D0"/>
    <w:lvl w:ilvl="0" w:tplc="C1F0A410">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914A61"/>
    <w:multiLevelType w:val="hybridMultilevel"/>
    <w:tmpl w:val="50FC5AAA"/>
    <w:lvl w:ilvl="0" w:tplc="BFDCCE88">
      <w:start w:val="1"/>
      <w:numFmt w:val="bullet"/>
      <w:lvlText w:val="–"/>
      <w:lvlJc w:val="left"/>
      <w:pPr>
        <w:tabs>
          <w:tab w:val="num" w:pos="720"/>
        </w:tabs>
        <w:ind w:left="720" w:hanging="360"/>
      </w:pPr>
      <w:rPr>
        <w:rFonts w:ascii="Arial" w:hAnsi="Arial" w:hint="default"/>
      </w:rPr>
    </w:lvl>
    <w:lvl w:ilvl="1" w:tplc="BE520524">
      <w:start w:val="1"/>
      <w:numFmt w:val="bullet"/>
      <w:lvlText w:val="–"/>
      <w:lvlJc w:val="left"/>
      <w:pPr>
        <w:tabs>
          <w:tab w:val="num" w:pos="1440"/>
        </w:tabs>
        <w:ind w:left="1440" w:hanging="360"/>
      </w:pPr>
      <w:rPr>
        <w:rFonts w:ascii="Arial" w:hAnsi="Arial" w:hint="default"/>
      </w:rPr>
    </w:lvl>
    <w:lvl w:ilvl="2" w:tplc="A9E8D92A">
      <w:numFmt w:val="bullet"/>
      <w:lvlText w:val="•"/>
      <w:lvlJc w:val="left"/>
      <w:pPr>
        <w:tabs>
          <w:tab w:val="num" w:pos="2160"/>
        </w:tabs>
        <w:ind w:left="2160" w:hanging="360"/>
      </w:pPr>
      <w:rPr>
        <w:rFonts w:ascii="Arial" w:hAnsi="Arial" w:hint="default"/>
      </w:rPr>
    </w:lvl>
    <w:lvl w:ilvl="3" w:tplc="B8E2294C" w:tentative="1">
      <w:start w:val="1"/>
      <w:numFmt w:val="bullet"/>
      <w:lvlText w:val="–"/>
      <w:lvlJc w:val="left"/>
      <w:pPr>
        <w:tabs>
          <w:tab w:val="num" w:pos="2880"/>
        </w:tabs>
        <w:ind w:left="2880" w:hanging="360"/>
      </w:pPr>
      <w:rPr>
        <w:rFonts w:ascii="Arial" w:hAnsi="Arial" w:hint="default"/>
      </w:rPr>
    </w:lvl>
    <w:lvl w:ilvl="4" w:tplc="ABB4B38C" w:tentative="1">
      <w:start w:val="1"/>
      <w:numFmt w:val="bullet"/>
      <w:lvlText w:val="–"/>
      <w:lvlJc w:val="left"/>
      <w:pPr>
        <w:tabs>
          <w:tab w:val="num" w:pos="3600"/>
        </w:tabs>
        <w:ind w:left="3600" w:hanging="360"/>
      </w:pPr>
      <w:rPr>
        <w:rFonts w:ascii="Arial" w:hAnsi="Arial" w:hint="default"/>
      </w:rPr>
    </w:lvl>
    <w:lvl w:ilvl="5" w:tplc="816A3F56" w:tentative="1">
      <w:start w:val="1"/>
      <w:numFmt w:val="bullet"/>
      <w:lvlText w:val="–"/>
      <w:lvlJc w:val="left"/>
      <w:pPr>
        <w:tabs>
          <w:tab w:val="num" w:pos="4320"/>
        </w:tabs>
        <w:ind w:left="4320" w:hanging="360"/>
      </w:pPr>
      <w:rPr>
        <w:rFonts w:ascii="Arial" w:hAnsi="Arial" w:hint="default"/>
      </w:rPr>
    </w:lvl>
    <w:lvl w:ilvl="6" w:tplc="245679B4" w:tentative="1">
      <w:start w:val="1"/>
      <w:numFmt w:val="bullet"/>
      <w:lvlText w:val="–"/>
      <w:lvlJc w:val="left"/>
      <w:pPr>
        <w:tabs>
          <w:tab w:val="num" w:pos="5040"/>
        </w:tabs>
        <w:ind w:left="5040" w:hanging="360"/>
      </w:pPr>
      <w:rPr>
        <w:rFonts w:ascii="Arial" w:hAnsi="Arial" w:hint="default"/>
      </w:rPr>
    </w:lvl>
    <w:lvl w:ilvl="7" w:tplc="565C7FB6" w:tentative="1">
      <w:start w:val="1"/>
      <w:numFmt w:val="bullet"/>
      <w:lvlText w:val="–"/>
      <w:lvlJc w:val="left"/>
      <w:pPr>
        <w:tabs>
          <w:tab w:val="num" w:pos="5760"/>
        </w:tabs>
        <w:ind w:left="5760" w:hanging="360"/>
      </w:pPr>
      <w:rPr>
        <w:rFonts w:ascii="Arial" w:hAnsi="Arial" w:hint="default"/>
      </w:rPr>
    </w:lvl>
    <w:lvl w:ilvl="8" w:tplc="E9B09F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F27A59"/>
    <w:multiLevelType w:val="hybridMultilevel"/>
    <w:tmpl w:val="E1365F46"/>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F382AFC"/>
    <w:multiLevelType w:val="hybridMultilevel"/>
    <w:tmpl w:val="5B4E282A"/>
    <w:lvl w:ilvl="0" w:tplc="333E1CA6">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Symbol" w:hAnsi="Symbol" w:hint="default"/>
      </w:rPr>
    </w:lvl>
    <w:lvl w:ilvl="2" w:tplc="2BDE3C38">
      <w:start w:val="1"/>
      <w:numFmt w:val="bullet"/>
      <w:lvlText w:val="–"/>
      <w:lvlJc w:val="left"/>
      <w:pPr>
        <w:tabs>
          <w:tab w:val="num" w:pos="2160"/>
        </w:tabs>
        <w:ind w:left="2160" w:hanging="360"/>
      </w:pPr>
      <w:rPr>
        <w:rFonts w:ascii="Arial" w:hAnsi="Arial" w:hint="default"/>
      </w:rPr>
    </w:lvl>
    <w:lvl w:ilvl="3" w:tplc="A6B019D8">
      <w:start w:val="1"/>
      <w:numFmt w:val="bullet"/>
      <w:lvlText w:val="–"/>
      <w:lvlJc w:val="left"/>
      <w:pPr>
        <w:tabs>
          <w:tab w:val="num" w:pos="2880"/>
        </w:tabs>
        <w:ind w:left="2880" w:hanging="360"/>
      </w:pPr>
      <w:rPr>
        <w:rFonts w:ascii="Arial" w:hAnsi="Arial" w:hint="default"/>
      </w:rPr>
    </w:lvl>
    <w:lvl w:ilvl="4" w:tplc="C00AECD6">
      <w:start w:val="1"/>
      <w:numFmt w:val="bullet"/>
      <w:lvlText w:val="–"/>
      <w:lvlJc w:val="left"/>
      <w:pPr>
        <w:tabs>
          <w:tab w:val="num" w:pos="3600"/>
        </w:tabs>
        <w:ind w:left="3600" w:hanging="360"/>
      </w:pPr>
      <w:rPr>
        <w:rFonts w:ascii="Arial" w:hAnsi="Arial" w:hint="default"/>
      </w:rPr>
    </w:lvl>
    <w:lvl w:ilvl="5" w:tplc="74B02580">
      <w:numFmt w:val="bullet"/>
      <w:lvlText w:val="•"/>
      <w:lvlJc w:val="left"/>
      <w:pPr>
        <w:tabs>
          <w:tab w:val="num" w:pos="4320"/>
        </w:tabs>
        <w:ind w:left="4320" w:hanging="360"/>
      </w:pPr>
      <w:rPr>
        <w:rFonts w:ascii="Arial" w:hAnsi="Arial" w:hint="default"/>
      </w:rPr>
    </w:lvl>
    <w:lvl w:ilvl="6" w:tplc="E298646A" w:tentative="1">
      <w:start w:val="1"/>
      <w:numFmt w:val="bullet"/>
      <w:lvlText w:val="–"/>
      <w:lvlJc w:val="left"/>
      <w:pPr>
        <w:tabs>
          <w:tab w:val="num" w:pos="5040"/>
        </w:tabs>
        <w:ind w:left="5040" w:hanging="360"/>
      </w:pPr>
      <w:rPr>
        <w:rFonts w:ascii="Arial" w:hAnsi="Arial" w:hint="default"/>
      </w:rPr>
    </w:lvl>
    <w:lvl w:ilvl="7" w:tplc="B3707108" w:tentative="1">
      <w:start w:val="1"/>
      <w:numFmt w:val="bullet"/>
      <w:lvlText w:val="–"/>
      <w:lvlJc w:val="left"/>
      <w:pPr>
        <w:tabs>
          <w:tab w:val="num" w:pos="5760"/>
        </w:tabs>
        <w:ind w:left="5760" w:hanging="360"/>
      </w:pPr>
      <w:rPr>
        <w:rFonts w:ascii="Arial" w:hAnsi="Arial" w:hint="default"/>
      </w:rPr>
    </w:lvl>
    <w:lvl w:ilvl="8" w:tplc="DBCA67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5458E7"/>
    <w:multiLevelType w:val="hybridMultilevel"/>
    <w:tmpl w:val="992CBBA0"/>
    <w:lvl w:ilvl="0" w:tplc="A2588996">
      <w:start w:val="1"/>
      <w:numFmt w:val="bullet"/>
      <w:lvlText w:val="•"/>
      <w:lvlJc w:val="left"/>
      <w:pPr>
        <w:tabs>
          <w:tab w:val="num" w:pos="720"/>
        </w:tabs>
        <w:ind w:left="720" w:hanging="360"/>
      </w:pPr>
      <w:rPr>
        <w:rFonts w:ascii="Arial" w:hAnsi="Arial" w:hint="default"/>
      </w:rPr>
    </w:lvl>
    <w:lvl w:ilvl="1" w:tplc="D2000014">
      <w:numFmt w:val="bullet"/>
      <w:lvlText w:val="–"/>
      <w:lvlJc w:val="left"/>
      <w:pPr>
        <w:tabs>
          <w:tab w:val="num" w:pos="1440"/>
        </w:tabs>
        <w:ind w:left="1440" w:hanging="360"/>
      </w:pPr>
      <w:rPr>
        <w:rFonts w:ascii="Arial" w:hAnsi="Arial" w:hint="default"/>
      </w:rPr>
    </w:lvl>
    <w:lvl w:ilvl="2" w:tplc="3828B494">
      <w:numFmt w:val="bullet"/>
      <w:lvlText w:val="•"/>
      <w:lvlJc w:val="left"/>
      <w:pPr>
        <w:tabs>
          <w:tab w:val="num" w:pos="2160"/>
        </w:tabs>
        <w:ind w:left="2160" w:hanging="360"/>
      </w:pPr>
      <w:rPr>
        <w:rFonts w:ascii="Arial" w:hAnsi="Arial" w:hint="default"/>
      </w:rPr>
    </w:lvl>
    <w:lvl w:ilvl="3" w:tplc="47201C76">
      <w:start w:val="1"/>
      <w:numFmt w:val="bullet"/>
      <w:lvlText w:val="•"/>
      <w:lvlJc w:val="left"/>
      <w:pPr>
        <w:tabs>
          <w:tab w:val="num" w:pos="2880"/>
        </w:tabs>
        <w:ind w:left="2880" w:hanging="360"/>
      </w:pPr>
      <w:rPr>
        <w:rFonts w:ascii="Arial" w:hAnsi="Arial" w:hint="default"/>
      </w:rPr>
    </w:lvl>
    <w:lvl w:ilvl="4" w:tplc="20CE0188" w:tentative="1">
      <w:start w:val="1"/>
      <w:numFmt w:val="bullet"/>
      <w:lvlText w:val="•"/>
      <w:lvlJc w:val="left"/>
      <w:pPr>
        <w:tabs>
          <w:tab w:val="num" w:pos="3600"/>
        </w:tabs>
        <w:ind w:left="3600" w:hanging="360"/>
      </w:pPr>
      <w:rPr>
        <w:rFonts w:ascii="Arial" w:hAnsi="Arial" w:hint="default"/>
      </w:rPr>
    </w:lvl>
    <w:lvl w:ilvl="5" w:tplc="01BAA51A" w:tentative="1">
      <w:start w:val="1"/>
      <w:numFmt w:val="bullet"/>
      <w:lvlText w:val="•"/>
      <w:lvlJc w:val="left"/>
      <w:pPr>
        <w:tabs>
          <w:tab w:val="num" w:pos="4320"/>
        </w:tabs>
        <w:ind w:left="4320" w:hanging="360"/>
      </w:pPr>
      <w:rPr>
        <w:rFonts w:ascii="Arial" w:hAnsi="Arial" w:hint="default"/>
      </w:rPr>
    </w:lvl>
    <w:lvl w:ilvl="6" w:tplc="43BAAF28" w:tentative="1">
      <w:start w:val="1"/>
      <w:numFmt w:val="bullet"/>
      <w:lvlText w:val="•"/>
      <w:lvlJc w:val="left"/>
      <w:pPr>
        <w:tabs>
          <w:tab w:val="num" w:pos="5040"/>
        </w:tabs>
        <w:ind w:left="5040" w:hanging="360"/>
      </w:pPr>
      <w:rPr>
        <w:rFonts w:ascii="Arial" w:hAnsi="Arial" w:hint="default"/>
      </w:rPr>
    </w:lvl>
    <w:lvl w:ilvl="7" w:tplc="151EA49A" w:tentative="1">
      <w:start w:val="1"/>
      <w:numFmt w:val="bullet"/>
      <w:lvlText w:val="•"/>
      <w:lvlJc w:val="left"/>
      <w:pPr>
        <w:tabs>
          <w:tab w:val="num" w:pos="5760"/>
        </w:tabs>
        <w:ind w:left="5760" w:hanging="360"/>
      </w:pPr>
      <w:rPr>
        <w:rFonts w:ascii="Arial" w:hAnsi="Arial" w:hint="default"/>
      </w:rPr>
    </w:lvl>
    <w:lvl w:ilvl="8" w:tplc="24DC87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E02E11"/>
    <w:multiLevelType w:val="hybridMultilevel"/>
    <w:tmpl w:val="E6422C44"/>
    <w:lvl w:ilvl="0" w:tplc="9B127B40">
      <w:start w:val="1"/>
      <w:numFmt w:val="bullet"/>
      <w:lvlText w:val="•"/>
      <w:lvlJc w:val="left"/>
      <w:pPr>
        <w:tabs>
          <w:tab w:val="num" w:pos="360"/>
        </w:tabs>
        <w:ind w:left="360" w:hanging="360"/>
      </w:pPr>
      <w:rPr>
        <w:rFonts w:ascii="Arial" w:hAnsi="Arial" w:hint="default"/>
      </w:rPr>
    </w:lvl>
    <w:lvl w:ilvl="1" w:tplc="C70A6404">
      <w:numFmt w:val="bullet"/>
      <w:lvlText w:val="–"/>
      <w:lvlJc w:val="left"/>
      <w:pPr>
        <w:tabs>
          <w:tab w:val="num" w:pos="1080"/>
        </w:tabs>
        <w:ind w:left="1080" w:hanging="360"/>
      </w:pPr>
      <w:rPr>
        <w:rFonts w:ascii="Arial" w:hAnsi="Arial" w:hint="default"/>
      </w:rPr>
    </w:lvl>
    <w:lvl w:ilvl="2" w:tplc="79088D4C">
      <w:numFmt w:val="bullet"/>
      <w:lvlText w:val="•"/>
      <w:lvlJc w:val="left"/>
      <w:pPr>
        <w:tabs>
          <w:tab w:val="num" w:pos="1800"/>
        </w:tabs>
        <w:ind w:left="1800" w:hanging="360"/>
      </w:pPr>
      <w:rPr>
        <w:rFonts w:ascii="Arial" w:hAnsi="Arial" w:hint="default"/>
      </w:rPr>
    </w:lvl>
    <w:lvl w:ilvl="3" w:tplc="40BE0722">
      <w:start w:val="1"/>
      <w:numFmt w:val="bullet"/>
      <w:lvlText w:val="•"/>
      <w:lvlJc w:val="left"/>
      <w:pPr>
        <w:tabs>
          <w:tab w:val="num" w:pos="2520"/>
        </w:tabs>
        <w:ind w:left="2520" w:hanging="360"/>
      </w:pPr>
      <w:rPr>
        <w:rFonts w:ascii="Arial" w:hAnsi="Arial" w:hint="default"/>
      </w:rPr>
    </w:lvl>
    <w:lvl w:ilvl="4" w:tplc="1EDC3600" w:tentative="1">
      <w:start w:val="1"/>
      <w:numFmt w:val="bullet"/>
      <w:lvlText w:val="•"/>
      <w:lvlJc w:val="left"/>
      <w:pPr>
        <w:tabs>
          <w:tab w:val="num" w:pos="3240"/>
        </w:tabs>
        <w:ind w:left="3240" w:hanging="360"/>
      </w:pPr>
      <w:rPr>
        <w:rFonts w:ascii="Arial" w:hAnsi="Arial" w:hint="default"/>
      </w:rPr>
    </w:lvl>
    <w:lvl w:ilvl="5" w:tplc="029A1DFE" w:tentative="1">
      <w:start w:val="1"/>
      <w:numFmt w:val="bullet"/>
      <w:lvlText w:val="•"/>
      <w:lvlJc w:val="left"/>
      <w:pPr>
        <w:tabs>
          <w:tab w:val="num" w:pos="3960"/>
        </w:tabs>
        <w:ind w:left="3960" w:hanging="360"/>
      </w:pPr>
      <w:rPr>
        <w:rFonts w:ascii="Arial" w:hAnsi="Arial" w:hint="default"/>
      </w:rPr>
    </w:lvl>
    <w:lvl w:ilvl="6" w:tplc="DB445116" w:tentative="1">
      <w:start w:val="1"/>
      <w:numFmt w:val="bullet"/>
      <w:lvlText w:val="•"/>
      <w:lvlJc w:val="left"/>
      <w:pPr>
        <w:tabs>
          <w:tab w:val="num" w:pos="4680"/>
        </w:tabs>
        <w:ind w:left="4680" w:hanging="360"/>
      </w:pPr>
      <w:rPr>
        <w:rFonts w:ascii="Arial" w:hAnsi="Arial" w:hint="default"/>
      </w:rPr>
    </w:lvl>
    <w:lvl w:ilvl="7" w:tplc="2026CE4C" w:tentative="1">
      <w:start w:val="1"/>
      <w:numFmt w:val="bullet"/>
      <w:lvlText w:val="•"/>
      <w:lvlJc w:val="left"/>
      <w:pPr>
        <w:tabs>
          <w:tab w:val="num" w:pos="5400"/>
        </w:tabs>
        <w:ind w:left="5400" w:hanging="360"/>
      </w:pPr>
      <w:rPr>
        <w:rFonts w:ascii="Arial" w:hAnsi="Arial" w:hint="default"/>
      </w:rPr>
    </w:lvl>
    <w:lvl w:ilvl="8" w:tplc="F6523D2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B2A0907"/>
    <w:multiLevelType w:val="hybridMultilevel"/>
    <w:tmpl w:val="F88CD342"/>
    <w:lvl w:ilvl="0" w:tplc="3C52A3D4">
      <w:start w:val="1"/>
      <w:numFmt w:val="bullet"/>
      <w:lvlText w:val="•"/>
      <w:lvlJc w:val="left"/>
      <w:pPr>
        <w:tabs>
          <w:tab w:val="num" w:pos="720"/>
        </w:tabs>
        <w:ind w:left="720" w:hanging="360"/>
      </w:pPr>
      <w:rPr>
        <w:rFonts w:ascii="Arial" w:hAnsi="Arial" w:hint="default"/>
      </w:rPr>
    </w:lvl>
    <w:lvl w:ilvl="1" w:tplc="83524586">
      <w:numFmt w:val="bullet"/>
      <w:lvlText w:val="–"/>
      <w:lvlJc w:val="left"/>
      <w:pPr>
        <w:tabs>
          <w:tab w:val="num" w:pos="1440"/>
        </w:tabs>
        <w:ind w:left="1440" w:hanging="360"/>
      </w:pPr>
      <w:rPr>
        <w:rFonts w:ascii="Arial" w:hAnsi="Arial" w:hint="default"/>
      </w:rPr>
    </w:lvl>
    <w:lvl w:ilvl="2" w:tplc="7436BC4C">
      <w:numFmt w:val="bullet"/>
      <w:lvlText w:val="•"/>
      <w:lvlJc w:val="left"/>
      <w:pPr>
        <w:tabs>
          <w:tab w:val="num" w:pos="2160"/>
        </w:tabs>
        <w:ind w:left="2160" w:hanging="360"/>
      </w:pPr>
      <w:rPr>
        <w:rFonts w:ascii="Arial" w:hAnsi="Arial" w:hint="default"/>
      </w:rPr>
    </w:lvl>
    <w:lvl w:ilvl="3" w:tplc="456E21AC">
      <w:start w:val="1"/>
      <w:numFmt w:val="bullet"/>
      <w:lvlText w:val="•"/>
      <w:lvlJc w:val="left"/>
      <w:pPr>
        <w:tabs>
          <w:tab w:val="num" w:pos="2880"/>
        </w:tabs>
        <w:ind w:left="2880" w:hanging="360"/>
      </w:pPr>
      <w:rPr>
        <w:rFonts w:ascii="Arial" w:hAnsi="Arial" w:hint="default"/>
      </w:rPr>
    </w:lvl>
    <w:lvl w:ilvl="4" w:tplc="3A06404E" w:tentative="1">
      <w:start w:val="1"/>
      <w:numFmt w:val="bullet"/>
      <w:lvlText w:val="•"/>
      <w:lvlJc w:val="left"/>
      <w:pPr>
        <w:tabs>
          <w:tab w:val="num" w:pos="3600"/>
        </w:tabs>
        <w:ind w:left="3600" w:hanging="360"/>
      </w:pPr>
      <w:rPr>
        <w:rFonts w:ascii="Arial" w:hAnsi="Arial" w:hint="default"/>
      </w:rPr>
    </w:lvl>
    <w:lvl w:ilvl="5" w:tplc="8256B704" w:tentative="1">
      <w:start w:val="1"/>
      <w:numFmt w:val="bullet"/>
      <w:lvlText w:val="•"/>
      <w:lvlJc w:val="left"/>
      <w:pPr>
        <w:tabs>
          <w:tab w:val="num" w:pos="4320"/>
        </w:tabs>
        <w:ind w:left="4320" w:hanging="360"/>
      </w:pPr>
      <w:rPr>
        <w:rFonts w:ascii="Arial" w:hAnsi="Arial" w:hint="default"/>
      </w:rPr>
    </w:lvl>
    <w:lvl w:ilvl="6" w:tplc="A98044A2" w:tentative="1">
      <w:start w:val="1"/>
      <w:numFmt w:val="bullet"/>
      <w:lvlText w:val="•"/>
      <w:lvlJc w:val="left"/>
      <w:pPr>
        <w:tabs>
          <w:tab w:val="num" w:pos="5040"/>
        </w:tabs>
        <w:ind w:left="5040" w:hanging="360"/>
      </w:pPr>
      <w:rPr>
        <w:rFonts w:ascii="Arial" w:hAnsi="Arial" w:hint="default"/>
      </w:rPr>
    </w:lvl>
    <w:lvl w:ilvl="7" w:tplc="49D0430E" w:tentative="1">
      <w:start w:val="1"/>
      <w:numFmt w:val="bullet"/>
      <w:lvlText w:val="•"/>
      <w:lvlJc w:val="left"/>
      <w:pPr>
        <w:tabs>
          <w:tab w:val="num" w:pos="5760"/>
        </w:tabs>
        <w:ind w:left="5760" w:hanging="360"/>
      </w:pPr>
      <w:rPr>
        <w:rFonts w:ascii="Arial" w:hAnsi="Arial" w:hint="default"/>
      </w:rPr>
    </w:lvl>
    <w:lvl w:ilvl="8" w:tplc="D960F1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0C6642"/>
    <w:multiLevelType w:val="hybridMultilevel"/>
    <w:tmpl w:val="9C307CDE"/>
    <w:lvl w:ilvl="0" w:tplc="ED80CEBA">
      <w:start w:val="1"/>
      <w:numFmt w:val="bullet"/>
      <w:lvlText w:val="•"/>
      <w:lvlJc w:val="left"/>
      <w:pPr>
        <w:tabs>
          <w:tab w:val="num" w:pos="360"/>
        </w:tabs>
        <w:ind w:left="360" w:hanging="360"/>
      </w:pPr>
      <w:rPr>
        <w:rFonts w:ascii="Arial" w:hAnsi="Arial" w:hint="default"/>
      </w:rPr>
    </w:lvl>
    <w:lvl w:ilvl="1" w:tplc="4B5EDF9C">
      <w:numFmt w:val="bullet"/>
      <w:lvlText w:val="–"/>
      <w:lvlJc w:val="left"/>
      <w:pPr>
        <w:tabs>
          <w:tab w:val="num" w:pos="1080"/>
        </w:tabs>
        <w:ind w:left="1080" w:hanging="360"/>
      </w:pPr>
      <w:rPr>
        <w:rFonts w:ascii="Arial" w:hAnsi="Arial" w:hint="default"/>
      </w:rPr>
    </w:lvl>
    <w:lvl w:ilvl="2" w:tplc="0CBAB338">
      <w:numFmt w:val="bullet"/>
      <w:lvlText w:val="•"/>
      <w:lvlJc w:val="left"/>
      <w:pPr>
        <w:tabs>
          <w:tab w:val="num" w:pos="1800"/>
        </w:tabs>
        <w:ind w:left="1800" w:hanging="360"/>
      </w:pPr>
      <w:rPr>
        <w:rFonts w:ascii="Arial" w:hAnsi="Arial" w:hint="default"/>
      </w:rPr>
    </w:lvl>
    <w:lvl w:ilvl="3" w:tplc="F554371C">
      <w:start w:val="1"/>
      <w:numFmt w:val="bullet"/>
      <w:lvlText w:val="•"/>
      <w:lvlJc w:val="left"/>
      <w:pPr>
        <w:tabs>
          <w:tab w:val="num" w:pos="2520"/>
        </w:tabs>
        <w:ind w:left="2520" w:hanging="360"/>
      </w:pPr>
      <w:rPr>
        <w:rFonts w:ascii="Arial" w:hAnsi="Arial" w:hint="default"/>
      </w:rPr>
    </w:lvl>
    <w:lvl w:ilvl="4" w:tplc="91888DFA" w:tentative="1">
      <w:start w:val="1"/>
      <w:numFmt w:val="bullet"/>
      <w:lvlText w:val="•"/>
      <w:lvlJc w:val="left"/>
      <w:pPr>
        <w:tabs>
          <w:tab w:val="num" w:pos="3240"/>
        </w:tabs>
        <w:ind w:left="3240" w:hanging="360"/>
      </w:pPr>
      <w:rPr>
        <w:rFonts w:ascii="Arial" w:hAnsi="Arial" w:hint="default"/>
      </w:rPr>
    </w:lvl>
    <w:lvl w:ilvl="5" w:tplc="4CDCFCD2" w:tentative="1">
      <w:start w:val="1"/>
      <w:numFmt w:val="bullet"/>
      <w:lvlText w:val="•"/>
      <w:lvlJc w:val="left"/>
      <w:pPr>
        <w:tabs>
          <w:tab w:val="num" w:pos="3960"/>
        </w:tabs>
        <w:ind w:left="3960" w:hanging="360"/>
      </w:pPr>
      <w:rPr>
        <w:rFonts w:ascii="Arial" w:hAnsi="Arial" w:hint="default"/>
      </w:rPr>
    </w:lvl>
    <w:lvl w:ilvl="6" w:tplc="ADE81D9E" w:tentative="1">
      <w:start w:val="1"/>
      <w:numFmt w:val="bullet"/>
      <w:lvlText w:val="•"/>
      <w:lvlJc w:val="left"/>
      <w:pPr>
        <w:tabs>
          <w:tab w:val="num" w:pos="4680"/>
        </w:tabs>
        <w:ind w:left="4680" w:hanging="360"/>
      </w:pPr>
      <w:rPr>
        <w:rFonts w:ascii="Arial" w:hAnsi="Arial" w:hint="default"/>
      </w:rPr>
    </w:lvl>
    <w:lvl w:ilvl="7" w:tplc="AFBC2A8C" w:tentative="1">
      <w:start w:val="1"/>
      <w:numFmt w:val="bullet"/>
      <w:lvlText w:val="•"/>
      <w:lvlJc w:val="left"/>
      <w:pPr>
        <w:tabs>
          <w:tab w:val="num" w:pos="5400"/>
        </w:tabs>
        <w:ind w:left="5400" w:hanging="360"/>
      </w:pPr>
      <w:rPr>
        <w:rFonts w:ascii="Arial" w:hAnsi="Arial" w:hint="default"/>
      </w:rPr>
    </w:lvl>
    <w:lvl w:ilvl="8" w:tplc="C9600EF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8896A39"/>
    <w:multiLevelType w:val="hybridMultilevel"/>
    <w:tmpl w:val="A5483C7C"/>
    <w:lvl w:ilvl="0" w:tplc="5060D75A">
      <w:start w:val="1"/>
      <w:numFmt w:val="bullet"/>
      <w:lvlText w:val="–"/>
      <w:lvlJc w:val="left"/>
      <w:pPr>
        <w:tabs>
          <w:tab w:val="num" w:pos="360"/>
        </w:tabs>
        <w:ind w:left="360" w:hanging="360"/>
      </w:pPr>
      <w:rPr>
        <w:rFonts w:ascii="Arial" w:hAnsi="Arial" w:hint="default"/>
      </w:rPr>
    </w:lvl>
    <w:lvl w:ilvl="1" w:tplc="EF58A224">
      <w:start w:val="1"/>
      <w:numFmt w:val="bullet"/>
      <w:lvlText w:val="•"/>
      <w:lvlJc w:val="left"/>
      <w:pPr>
        <w:tabs>
          <w:tab w:val="num" w:pos="1080"/>
        </w:tabs>
        <w:ind w:left="1080" w:hanging="360"/>
      </w:pPr>
      <w:rPr>
        <w:rFonts w:ascii="Arial" w:hAnsi="Arial" w:hint="default"/>
      </w:rPr>
    </w:lvl>
    <w:lvl w:ilvl="2" w:tplc="00BA2CF6">
      <w:numFmt w:val="bullet"/>
      <w:lvlText w:val="•"/>
      <w:lvlJc w:val="left"/>
      <w:pPr>
        <w:tabs>
          <w:tab w:val="num" w:pos="1800"/>
        </w:tabs>
        <w:ind w:left="1800" w:hanging="360"/>
      </w:pPr>
      <w:rPr>
        <w:rFonts w:ascii="Arial" w:hAnsi="Arial" w:hint="default"/>
      </w:rPr>
    </w:lvl>
    <w:lvl w:ilvl="3" w:tplc="4BCE9258">
      <w:start w:val="1"/>
      <w:numFmt w:val="bullet"/>
      <w:lvlText w:val="–"/>
      <w:lvlJc w:val="left"/>
      <w:pPr>
        <w:tabs>
          <w:tab w:val="num" w:pos="2520"/>
        </w:tabs>
        <w:ind w:left="2520" w:hanging="360"/>
      </w:pPr>
      <w:rPr>
        <w:rFonts w:ascii="Arial" w:hAnsi="Arial" w:hint="default"/>
      </w:rPr>
    </w:lvl>
    <w:lvl w:ilvl="4" w:tplc="ABC63E70" w:tentative="1">
      <w:start w:val="1"/>
      <w:numFmt w:val="bullet"/>
      <w:lvlText w:val="–"/>
      <w:lvlJc w:val="left"/>
      <w:pPr>
        <w:tabs>
          <w:tab w:val="num" w:pos="3240"/>
        </w:tabs>
        <w:ind w:left="3240" w:hanging="360"/>
      </w:pPr>
      <w:rPr>
        <w:rFonts w:ascii="Arial" w:hAnsi="Arial" w:hint="default"/>
      </w:rPr>
    </w:lvl>
    <w:lvl w:ilvl="5" w:tplc="DEF26406" w:tentative="1">
      <w:start w:val="1"/>
      <w:numFmt w:val="bullet"/>
      <w:lvlText w:val="–"/>
      <w:lvlJc w:val="left"/>
      <w:pPr>
        <w:tabs>
          <w:tab w:val="num" w:pos="3960"/>
        </w:tabs>
        <w:ind w:left="3960" w:hanging="360"/>
      </w:pPr>
      <w:rPr>
        <w:rFonts w:ascii="Arial" w:hAnsi="Arial" w:hint="default"/>
      </w:rPr>
    </w:lvl>
    <w:lvl w:ilvl="6" w:tplc="B1429F9C" w:tentative="1">
      <w:start w:val="1"/>
      <w:numFmt w:val="bullet"/>
      <w:lvlText w:val="–"/>
      <w:lvlJc w:val="left"/>
      <w:pPr>
        <w:tabs>
          <w:tab w:val="num" w:pos="4680"/>
        </w:tabs>
        <w:ind w:left="4680" w:hanging="360"/>
      </w:pPr>
      <w:rPr>
        <w:rFonts w:ascii="Arial" w:hAnsi="Arial" w:hint="default"/>
      </w:rPr>
    </w:lvl>
    <w:lvl w:ilvl="7" w:tplc="92649592" w:tentative="1">
      <w:start w:val="1"/>
      <w:numFmt w:val="bullet"/>
      <w:lvlText w:val="–"/>
      <w:lvlJc w:val="left"/>
      <w:pPr>
        <w:tabs>
          <w:tab w:val="num" w:pos="5400"/>
        </w:tabs>
        <w:ind w:left="5400" w:hanging="360"/>
      </w:pPr>
      <w:rPr>
        <w:rFonts w:ascii="Arial" w:hAnsi="Arial" w:hint="default"/>
      </w:rPr>
    </w:lvl>
    <w:lvl w:ilvl="8" w:tplc="B08A2E3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B7873C8"/>
    <w:multiLevelType w:val="hybridMultilevel"/>
    <w:tmpl w:val="237824A4"/>
    <w:lvl w:ilvl="0" w:tplc="10F87502">
      <w:start w:val="1"/>
      <w:numFmt w:val="bullet"/>
      <w:lvlText w:val="•"/>
      <w:lvlJc w:val="left"/>
      <w:pPr>
        <w:tabs>
          <w:tab w:val="num" w:pos="720"/>
        </w:tabs>
        <w:ind w:left="720" w:hanging="360"/>
      </w:pPr>
      <w:rPr>
        <w:rFonts w:ascii="Arial" w:hAnsi="Arial" w:hint="default"/>
      </w:rPr>
    </w:lvl>
    <w:lvl w:ilvl="1" w:tplc="2C88D70C">
      <w:numFmt w:val="bullet"/>
      <w:lvlText w:val="–"/>
      <w:lvlJc w:val="left"/>
      <w:pPr>
        <w:tabs>
          <w:tab w:val="num" w:pos="1440"/>
        </w:tabs>
        <w:ind w:left="1440" w:hanging="360"/>
      </w:pPr>
      <w:rPr>
        <w:rFonts w:ascii="Arial" w:hAnsi="Arial" w:hint="default"/>
      </w:rPr>
    </w:lvl>
    <w:lvl w:ilvl="2" w:tplc="6CB27338">
      <w:numFmt w:val="bullet"/>
      <w:lvlText w:val="•"/>
      <w:lvlJc w:val="left"/>
      <w:pPr>
        <w:tabs>
          <w:tab w:val="num" w:pos="2160"/>
        </w:tabs>
        <w:ind w:left="2160" w:hanging="360"/>
      </w:pPr>
      <w:rPr>
        <w:rFonts w:ascii="Arial" w:hAnsi="Arial" w:hint="default"/>
      </w:rPr>
    </w:lvl>
    <w:lvl w:ilvl="3" w:tplc="9E5CC41E">
      <w:start w:val="1"/>
      <w:numFmt w:val="bullet"/>
      <w:lvlText w:val="•"/>
      <w:lvlJc w:val="left"/>
      <w:pPr>
        <w:tabs>
          <w:tab w:val="num" w:pos="2880"/>
        </w:tabs>
        <w:ind w:left="2880" w:hanging="360"/>
      </w:pPr>
      <w:rPr>
        <w:rFonts w:ascii="Arial" w:hAnsi="Arial" w:hint="default"/>
      </w:rPr>
    </w:lvl>
    <w:lvl w:ilvl="4" w:tplc="5DF2603A" w:tentative="1">
      <w:start w:val="1"/>
      <w:numFmt w:val="bullet"/>
      <w:lvlText w:val="•"/>
      <w:lvlJc w:val="left"/>
      <w:pPr>
        <w:tabs>
          <w:tab w:val="num" w:pos="3600"/>
        </w:tabs>
        <w:ind w:left="3600" w:hanging="360"/>
      </w:pPr>
      <w:rPr>
        <w:rFonts w:ascii="Arial" w:hAnsi="Arial" w:hint="default"/>
      </w:rPr>
    </w:lvl>
    <w:lvl w:ilvl="5" w:tplc="0CBE0F10" w:tentative="1">
      <w:start w:val="1"/>
      <w:numFmt w:val="bullet"/>
      <w:lvlText w:val="•"/>
      <w:lvlJc w:val="left"/>
      <w:pPr>
        <w:tabs>
          <w:tab w:val="num" w:pos="4320"/>
        </w:tabs>
        <w:ind w:left="4320" w:hanging="360"/>
      </w:pPr>
      <w:rPr>
        <w:rFonts w:ascii="Arial" w:hAnsi="Arial" w:hint="default"/>
      </w:rPr>
    </w:lvl>
    <w:lvl w:ilvl="6" w:tplc="419EBF72" w:tentative="1">
      <w:start w:val="1"/>
      <w:numFmt w:val="bullet"/>
      <w:lvlText w:val="•"/>
      <w:lvlJc w:val="left"/>
      <w:pPr>
        <w:tabs>
          <w:tab w:val="num" w:pos="5040"/>
        </w:tabs>
        <w:ind w:left="5040" w:hanging="360"/>
      </w:pPr>
      <w:rPr>
        <w:rFonts w:ascii="Arial" w:hAnsi="Arial" w:hint="default"/>
      </w:rPr>
    </w:lvl>
    <w:lvl w:ilvl="7" w:tplc="170470F6" w:tentative="1">
      <w:start w:val="1"/>
      <w:numFmt w:val="bullet"/>
      <w:lvlText w:val="•"/>
      <w:lvlJc w:val="left"/>
      <w:pPr>
        <w:tabs>
          <w:tab w:val="num" w:pos="5760"/>
        </w:tabs>
        <w:ind w:left="5760" w:hanging="360"/>
      </w:pPr>
      <w:rPr>
        <w:rFonts w:ascii="Arial" w:hAnsi="Arial" w:hint="default"/>
      </w:rPr>
    </w:lvl>
    <w:lvl w:ilvl="8" w:tplc="FC48F8C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49F2"/>
    <w:multiLevelType w:val="hybridMultilevel"/>
    <w:tmpl w:val="07721204"/>
    <w:lvl w:ilvl="0" w:tplc="A114217E">
      <w:start w:val="1"/>
      <w:numFmt w:val="bullet"/>
      <w:lvlText w:val="•"/>
      <w:lvlJc w:val="left"/>
      <w:pPr>
        <w:tabs>
          <w:tab w:val="num" w:pos="360"/>
        </w:tabs>
        <w:ind w:left="360" w:hanging="360"/>
      </w:pPr>
      <w:rPr>
        <w:rFonts w:ascii="Arial" w:hAnsi="Arial" w:hint="default"/>
      </w:rPr>
    </w:lvl>
    <w:lvl w:ilvl="1" w:tplc="31B68530">
      <w:numFmt w:val="bullet"/>
      <w:lvlText w:val="–"/>
      <w:lvlJc w:val="left"/>
      <w:pPr>
        <w:tabs>
          <w:tab w:val="num" w:pos="1080"/>
        </w:tabs>
        <w:ind w:left="1080" w:hanging="360"/>
      </w:pPr>
      <w:rPr>
        <w:rFonts w:ascii="Arial" w:hAnsi="Arial" w:hint="default"/>
      </w:rPr>
    </w:lvl>
    <w:lvl w:ilvl="2" w:tplc="0E169DB8">
      <w:numFmt w:val="bullet"/>
      <w:lvlText w:val="•"/>
      <w:lvlJc w:val="left"/>
      <w:pPr>
        <w:tabs>
          <w:tab w:val="num" w:pos="1800"/>
        </w:tabs>
        <w:ind w:left="1800" w:hanging="360"/>
      </w:pPr>
      <w:rPr>
        <w:rFonts w:ascii="Arial" w:hAnsi="Arial" w:hint="default"/>
      </w:rPr>
    </w:lvl>
    <w:lvl w:ilvl="3" w:tplc="25604E96">
      <w:start w:val="1"/>
      <w:numFmt w:val="bullet"/>
      <w:lvlText w:val="•"/>
      <w:lvlJc w:val="left"/>
      <w:pPr>
        <w:tabs>
          <w:tab w:val="num" w:pos="2520"/>
        </w:tabs>
        <w:ind w:left="2520" w:hanging="360"/>
      </w:pPr>
      <w:rPr>
        <w:rFonts w:ascii="Arial" w:hAnsi="Arial" w:hint="default"/>
      </w:rPr>
    </w:lvl>
    <w:lvl w:ilvl="4" w:tplc="60003F32" w:tentative="1">
      <w:start w:val="1"/>
      <w:numFmt w:val="bullet"/>
      <w:lvlText w:val="•"/>
      <w:lvlJc w:val="left"/>
      <w:pPr>
        <w:tabs>
          <w:tab w:val="num" w:pos="3240"/>
        </w:tabs>
        <w:ind w:left="3240" w:hanging="360"/>
      </w:pPr>
      <w:rPr>
        <w:rFonts w:ascii="Arial" w:hAnsi="Arial" w:hint="default"/>
      </w:rPr>
    </w:lvl>
    <w:lvl w:ilvl="5" w:tplc="EF540128" w:tentative="1">
      <w:start w:val="1"/>
      <w:numFmt w:val="bullet"/>
      <w:lvlText w:val="•"/>
      <w:lvlJc w:val="left"/>
      <w:pPr>
        <w:tabs>
          <w:tab w:val="num" w:pos="3960"/>
        </w:tabs>
        <w:ind w:left="3960" w:hanging="360"/>
      </w:pPr>
      <w:rPr>
        <w:rFonts w:ascii="Arial" w:hAnsi="Arial" w:hint="default"/>
      </w:rPr>
    </w:lvl>
    <w:lvl w:ilvl="6" w:tplc="B7F2344E" w:tentative="1">
      <w:start w:val="1"/>
      <w:numFmt w:val="bullet"/>
      <w:lvlText w:val="•"/>
      <w:lvlJc w:val="left"/>
      <w:pPr>
        <w:tabs>
          <w:tab w:val="num" w:pos="4680"/>
        </w:tabs>
        <w:ind w:left="4680" w:hanging="360"/>
      </w:pPr>
      <w:rPr>
        <w:rFonts w:ascii="Arial" w:hAnsi="Arial" w:hint="default"/>
      </w:rPr>
    </w:lvl>
    <w:lvl w:ilvl="7" w:tplc="101A0C56" w:tentative="1">
      <w:start w:val="1"/>
      <w:numFmt w:val="bullet"/>
      <w:lvlText w:val="•"/>
      <w:lvlJc w:val="left"/>
      <w:pPr>
        <w:tabs>
          <w:tab w:val="num" w:pos="5400"/>
        </w:tabs>
        <w:ind w:left="5400" w:hanging="360"/>
      </w:pPr>
      <w:rPr>
        <w:rFonts w:ascii="Arial" w:hAnsi="Arial" w:hint="default"/>
      </w:rPr>
    </w:lvl>
    <w:lvl w:ilvl="8" w:tplc="B2B6716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D1C6E2F"/>
    <w:multiLevelType w:val="hybridMultilevel"/>
    <w:tmpl w:val="C5747BEC"/>
    <w:lvl w:ilvl="0" w:tplc="BFDCCE88">
      <w:start w:val="1"/>
      <w:numFmt w:val="bullet"/>
      <w:lvlText w:val="–"/>
      <w:lvlJc w:val="left"/>
      <w:pPr>
        <w:tabs>
          <w:tab w:val="num" w:pos="720"/>
        </w:tabs>
        <w:ind w:left="720" w:hanging="360"/>
      </w:pPr>
      <w:rPr>
        <w:rFonts w:ascii="Arial" w:hAnsi="Arial" w:hint="default"/>
      </w:rPr>
    </w:lvl>
    <w:lvl w:ilvl="1" w:tplc="EF58A224">
      <w:start w:val="1"/>
      <w:numFmt w:val="bullet"/>
      <w:lvlText w:val="•"/>
      <w:lvlJc w:val="left"/>
      <w:pPr>
        <w:tabs>
          <w:tab w:val="num" w:pos="1440"/>
        </w:tabs>
        <w:ind w:left="1440" w:hanging="360"/>
      </w:pPr>
      <w:rPr>
        <w:rFonts w:ascii="Arial" w:hAnsi="Arial" w:hint="default"/>
      </w:rPr>
    </w:lvl>
    <w:lvl w:ilvl="2" w:tplc="A9E8D92A">
      <w:numFmt w:val="bullet"/>
      <w:lvlText w:val="•"/>
      <w:lvlJc w:val="left"/>
      <w:pPr>
        <w:tabs>
          <w:tab w:val="num" w:pos="2160"/>
        </w:tabs>
        <w:ind w:left="2160" w:hanging="360"/>
      </w:pPr>
      <w:rPr>
        <w:rFonts w:ascii="Arial" w:hAnsi="Arial" w:hint="default"/>
      </w:rPr>
    </w:lvl>
    <w:lvl w:ilvl="3" w:tplc="B8E2294C" w:tentative="1">
      <w:start w:val="1"/>
      <w:numFmt w:val="bullet"/>
      <w:lvlText w:val="–"/>
      <w:lvlJc w:val="left"/>
      <w:pPr>
        <w:tabs>
          <w:tab w:val="num" w:pos="2880"/>
        </w:tabs>
        <w:ind w:left="2880" w:hanging="360"/>
      </w:pPr>
      <w:rPr>
        <w:rFonts w:ascii="Arial" w:hAnsi="Arial" w:hint="default"/>
      </w:rPr>
    </w:lvl>
    <w:lvl w:ilvl="4" w:tplc="ABB4B38C" w:tentative="1">
      <w:start w:val="1"/>
      <w:numFmt w:val="bullet"/>
      <w:lvlText w:val="–"/>
      <w:lvlJc w:val="left"/>
      <w:pPr>
        <w:tabs>
          <w:tab w:val="num" w:pos="3600"/>
        </w:tabs>
        <w:ind w:left="3600" w:hanging="360"/>
      </w:pPr>
      <w:rPr>
        <w:rFonts w:ascii="Arial" w:hAnsi="Arial" w:hint="default"/>
      </w:rPr>
    </w:lvl>
    <w:lvl w:ilvl="5" w:tplc="816A3F56" w:tentative="1">
      <w:start w:val="1"/>
      <w:numFmt w:val="bullet"/>
      <w:lvlText w:val="–"/>
      <w:lvlJc w:val="left"/>
      <w:pPr>
        <w:tabs>
          <w:tab w:val="num" w:pos="4320"/>
        </w:tabs>
        <w:ind w:left="4320" w:hanging="360"/>
      </w:pPr>
      <w:rPr>
        <w:rFonts w:ascii="Arial" w:hAnsi="Arial" w:hint="default"/>
      </w:rPr>
    </w:lvl>
    <w:lvl w:ilvl="6" w:tplc="245679B4" w:tentative="1">
      <w:start w:val="1"/>
      <w:numFmt w:val="bullet"/>
      <w:lvlText w:val="–"/>
      <w:lvlJc w:val="left"/>
      <w:pPr>
        <w:tabs>
          <w:tab w:val="num" w:pos="5040"/>
        </w:tabs>
        <w:ind w:left="5040" w:hanging="360"/>
      </w:pPr>
      <w:rPr>
        <w:rFonts w:ascii="Arial" w:hAnsi="Arial" w:hint="default"/>
      </w:rPr>
    </w:lvl>
    <w:lvl w:ilvl="7" w:tplc="565C7FB6" w:tentative="1">
      <w:start w:val="1"/>
      <w:numFmt w:val="bullet"/>
      <w:lvlText w:val="–"/>
      <w:lvlJc w:val="left"/>
      <w:pPr>
        <w:tabs>
          <w:tab w:val="num" w:pos="5760"/>
        </w:tabs>
        <w:ind w:left="5760" w:hanging="360"/>
      </w:pPr>
      <w:rPr>
        <w:rFonts w:ascii="Arial" w:hAnsi="Arial" w:hint="default"/>
      </w:rPr>
    </w:lvl>
    <w:lvl w:ilvl="8" w:tplc="E9B09F2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43"/>
  </w:num>
  <w:num w:numId="4">
    <w:abstractNumId w:val="46"/>
  </w:num>
  <w:num w:numId="5">
    <w:abstractNumId w:val="34"/>
  </w:num>
  <w:num w:numId="6">
    <w:abstractNumId w:val="0"/>
  </w:num>
  <w:num w:numId="7">
    <w:abstractNumId w:val="7"/>
  </w:num>
  <w:num w:numId="8">
    <w:abstractNumId w:val="26"/>
  </w:num>
  <w:num w:numId="9">
    <w:abstractNumId w:val="28"/>
  </w:num>
  <w:num w:numId="10">
    <w:abstractNumId w:val="15"/>
  </w:num>
  <w:num w:numId="11">
    <w:abstractNumId w:val="16"/>
  </w:num>
  <w:num w:numId="12">
    <w:abstractNumId w:val="6"/>
  </w:num>
  <w:num w:numId="13">
    <w:abstractNumId w:val="41"/>
  </w:num>
  <w:num w:numId="14">
    <w:abstractNumId w:val="17"/>
  </w:num>
  <w:num w:numId="15">
    <w:abstractNumId w:val="9"/>
  </w:num>
  <w:num w:numId="16">
    <w:abstractNumId w:val="24"/>
  </w:num>
  <w:num w:numId="17">
    <w:abstractNumId w:val="18"/>
  </w:num>
  <w:num w:numId="18">
    <w:abstractNumId w:val="31"/>
  </w:num>
  <w:num w:numId="19">
    <w:abstractNumId w:val="23"/>
  </w:num>
  <w:num w:numId="20">
    <w:abstractNumId w:val="37"/>
  </w:num>
  <w:num w:numId="21">
    <w:abstractNumId w:val="44"/>
  </w:num>
  <w:num w:numId="22">
    <w:abstractNumId w:val="5"/>
  </w:num>
  <w:num w:numId="23">
    <w:abstractNumId w:val="22"/>
  </w:num>
  <w:num w:numId="24">
    <w:abstractNumId w:val="30"/>
  </w:num>
  <w:num w:numId="25">
    <w:abstractNumId w:val="19"/>
  </w:num>
  <w:num w:numId="26">
    <w:abstractNumId w:val="8"/>
  </w:num>
  <w:num w:numId="27">
    <w:abstractNumId w:val="20"/>
  </w:num>
  <w:num w:numId="28">
    <w:abstractNumId w:val="36"/>
  </w:num>
  <w:num w:numId="29">
    <w:abstractNumId w:val="33"/>
  </w:num>
  <w:num w:numId="30">
    <w:abstractNumId w:val="25"/>
  </w:num>
  <w:num w:numId="31">
    <w:abstractNumId w:val="38"/>
  </w:num>
  <w:num w:numId="32">
    <w:abstractNumId w:val="10"/>
  </w:num>
  <w:num w:numId="33">
    <w:abstractNumId w:val="2"/>
  </w:num>
  <w:num w:numId="34">
    <w:abstractNumId w:val="2"/>
  </w:num>
  <w:num w:numId="35">
    <w:abstractNumId w:val="32"/>
  </w:num>
  <w:num w:numId="36">
    <w:abstractNumId w:val="27"/>
  </w:num>
  <w:num w:numId="37">
    <w:abstractNumId w:val="45"/>
  </w:num>
  <w:num w:numId="38">
    <w:abstractNumId w:val="40"/>
  </w:num>
  <w:num w:numId="39">
    <w:abstractNumId w:val="14"/>
  </w:num>
  <w:num w:numId="40">
    <w:abstractNumId w:val="3"/>
  </w:num>
  <w:num w:numId="41">
    <w:abstractNumId w:val="42"/>
  </w:num>
  <w:num w:numId="42">
    <w:abstractNumId w:val="11"/>
  </w:num>
  <w:num w:numId="43">
    <w:abstractNumId w:val="1"/>
  </w:num>
  <w:num w:numId="44">
    <w:abstractNumId w:val="39"/>
  </w:num>
  <w:num w:numId="45">
    <w:abstractNumId w:val="29"/>
  </w:num>
  <w:num w:numId="46">
    <w:abstractNumId w:val="12"/>
  </w:num>
  <w:num w:numId="47">
    <w:abstractNumId w:val="35"/>
  </w:num>
  <w:num w:numId="48">
    <w:abstractNumId w:val="13"/>
  </w:num>
  <w:num w:numId="4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7C"/>
    <w:rsid w:val="000044DA"/>
    <w:rsid w:val="0000613E"/>
    <w:rsid w:val="00006528"/>
    <w:rsid w:val="000068C4"/>
    <w:rsid w:val="00006AA0"/>
    <w:rsid w:val="000110CA"/>
    <w:rsid w:val="00011855"/>
    <w:rsid w:val="000118F6"/>
    <w:rsid w:val="00011F68"/>
    <w:rsid w:val="00013CB8"/>
    <w:rsid w:val="00015330"/>
    <w:rsid w:val="0001565F"/>
    <w:rsid w:val="0001701A"/>
    <w:rsid w:val="00017C43"/>
    <w:rsid w:val="000205C0"/>
    <w:rsid w:val="00020B6F"/>
    <w:rsid w:val="00020BFF"/>
    <w:rsid w:val="00021085"/>
    <w:rsid w:val="00022374"/>
    <w:rsid w:val="000224E8"/>
    <w:rsid w:val="00022E4A"/>
    <w:rsid w:val="00023E5C"/>
    <w:rsid w:val="00025434"/>
    <w:rsid w:val="0002747B"/>
    <w:rsid w:val="00031567"/>
    <w:rsid w:val="00031B03"/>
    <w:rsid w:val="00032AB8"/>
    <w:rsid w:val="00033BF9"/>
    <w:rsid w:val="00034184"/>
    <w:rsid w:val="0003419C"/>
    <w:rsid w:val="000346B7"/>
    <w:rsid w:val="000357E9"/>
    <w:rsid w:val="00035A64"/>
    <w:rsid w:val="0003750B"/>
    <w:rsid w:val="00037B33"/>
    <w:rsid w:val="00040B64"/>
    <w:rsid w:val="0004127F"/>
    <w:rsid w:val="00041E1E"/>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476A"/>
    <w:rsid w:val="00054CEB"/>
    <w:rsid w:val="000575BB"/>
    <w:rsid w:val="00057F83"/>
    <w:rsid w:val="000605B5"/>
    <w:rsid w:val="00061787"/>
    <w:rsid w:val="000622D3"/>
    <w:rsid w:val="00062A3B"/>
    <w:rsid w:val="00064173"/>
    <w:rsid w:val="000655EF"/>
    <w:rsid w:val="00067A3E"/>
    <w:rsid w:val="00070154"/>
    <w:rsid w:val="00070CDD"/>
    <w:rsid w:val="00070DC3"/>
    <w:rsid w:val="00072EDF"/>
    <w:rsid w:val="000737BB"/>
    <w:rsid w:val="00073C97"/>
    <w:rsid w:val="00075247"/>
    <w:rsid w:val="00076E9F"/>
    <w:rsid w:val="000778CB"/>
    <w:rsid w:val="000806E2"/>
    <w:rsid w:val="00080851"/>
    <w:rsid w:val="00081C37"/>
    <w:rsid w:val="00082914"/>
    <w:rsid w:val="00083024"/>
    <w:rsid w:val="000832CF"/>
    <w:rsid w:val="00083842"/>
    <w:rsid w:val="000843D9"/>
    <w:rsid w:val="00084D8D"/>
    <w:rsid w:val="00084F0C"/>
    <w:rsid w:val="00085A59"/>
    <w:rsid w:val="00085DF3"/>
    <w:rsid w:val="00086B96"/>
    <w:rsid w:val="00090587"/>
    <w:rsid w:val="00091874"/>
    <w:rsid w:val="00093E22"/>
    <w:rsid w:val="00094829"/>
    <w:rsid w:val="0009762D"/>
    <w:rsid w:val="00097964"/>
    <w:rsid w:val="00097992"/>
    <w:rsid w:val="00097FD1"/>
    <w:rsid w:val="000A10EB"/>
    <w:rsid w:val="000A1D8C"/>
    <w:rsid w:val="000A2D64"/>
    <w:rsid w:val="000A3769"/>
    <w:rsid w:val="000A394F"/>
    <w:rsid w:val="000A4C5A"/>
    <w:rsid w:val="000A689E"/>
    <w:rsid w:val="000A6CBD"/>
    <w:rsid w:val="000A7B65"/>
    <w:rsid w:val="000B13E4"/>
    <w:rsid w:val="000B46EE"/>
    <w:rsid w:val="000B48A6"/>
    <w:rsid w:val="000B4976"/>
    <w:rsid w:val="000B4B4A"/>
    <w:rsid w:val="000B5774"/>
    <w:rsid w:val="000B5F7E"/>
    <w:rsid w:val="000B726C"/>
    <w:rsid w:val="000B78CC"/>
    <w:rsid w:val="000C00E1"/>
    <w:rsid w:val="000C42DD"/>
    <w:rsid w:val="000C4E93"/>
    <w:rsid w:val="000C6CBB"/>
    <w:rsid w:val="000C6D76"/>
    <w:rsid w:val="000C6E31"/>
    <w:rsid w:val="000C7168"/>
    <w:rsid w:val="000D0344"/>
    <w:rsid w:val="000D09DC"/>
    <w:rsid w:val="000D3B23"/>
    <w:rsid w:val="000D468C"/>
    <w:rsid w:val="000D4DF5"/>
    <w:rsid w:val="000D5EC9"/>
    <w:rsid w:val="000E02F8"/>
    <w:rsid w:val="000E13C9"/>
    <w:rsid w:val="000E301C"/>
    <w:rsid w:val="000E3370"/>
    <w:rsid w:val="000E3E84"/>
    <w:rsid w:val="000E4329"/>
    <w:rsid w:val="000E4C86"/>
    <w:rsid w:val="000E554A"/>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15"/>
    <w:rsid w:val="0012227B"/>
    <w:rsid w:val="001227E7"/>
    <w:rsid w:val="00122A9B"/>
    <w:rsid w:val="00124184"/>
    <w:rsid w:val="00125A22"/>
    <w:rsid w:val="00126539"/>
    <w:rsid w:val="00126BF7"/>
    <w:rsid w:val="0013091C"/>
    <w:rsid w:val="00130C8A"/>
    <w:rsid w:val="001312D1"/>
    <w:rsid w:val="0013156C"/>
    <w:rsid w:val="00131814"/>
    <w:rsid w:val="00131EA5"/>
    <w:rsid w:val="0013204A"/>
    <w:rsid w:val="00132211"/>
    <w:rsid w:val="00132625"/>
    <w:rsid w:val="00134506"/>
    <w:rsid w:val="00135B09"/>
    <w:rsid w:val="00140232"/>
    <w:rsid w:val="0014087A"/>
    <w:rsid w:val="00141333"/>
    <w:rsid w:val="00141B2B"/>
    <w:rsid w:val="00141DD6"/>
    <w:rsid w:val="00144AA6"/>
    <w:rsid w:val="0014638D"/>
    <w:rsid w:val="00147E06"/>
    <w:rsid w:val="0015093A"/>
    <w:rsid w:val="00150FD5"/>
    <w:rsid w:val="00151742"/>
    <w:rsid w:val="0015205D"/>
    <w:rsid w:val="00152608"/>
    <w:rsid w:val="0015526C"/>
    <w:rsid w:val="0015535C"/>
    <w:rsid w:val="00157372"/>
    <w:rsid w:val="0016006A"/>
    <w:rsid w:val="0016028E"/>
    <w:rsid w:val="0016044E"/>
    <w:rsid w:val="00160633"/>
    <w:rsid w:val="00160DF5"/>
    <w:rsid w:val="00161E83"/>
    <w:rsid w:val="001629A3"/>
    <w:rsid w:val="001633C1"/>
    <w:rsid w:val="001636D5"/>
    <w:rsid w:val="00163EEC"/>
    <w:rsid w:val="00165014"/>
    <w:rsid w:val="001679FD"/>
    <w:rsid w:val="0017100B"/>
    <w:rsid w:val="00171F68"/>
    <w:rsid w:val="00177369"/>
    <w:rsid w:val="001775C4"/>
    <w:rsid w:val="001778DC"/>
    <w:rsid w:val="00177ED9"/>
    <w:rsid w:val="0018017B"/>
    <w:rsid w:val="00181069"/>
    <w:rsid w:val="00181137"/>
    <w:rsid w:val="00184EF7"/>
    <w:rsid w:val="001860A0"/>
    <w:rsid w:val="00186DC8"/>
    <w:rsid w:val="0019227A"/>
    <w:rsid w:val="001924BC"/>
    <w:rsid w:val="00192720"/>
    <w:rsid w:val="00195650"/>
    <w:rsid w:val="001977C8"/>
    <w:rsid w:val="00197C7B"/>
    <w:rsid w:val="001A1B88"/>
    <w:rsid w:val="001A1F92"/>
    <w:rsid w:val="001A2382"/>
    <w:rsid w:val="001A31EF"/>
    <w:rsid w:val="001A34F0"/>
    <w:rsid w:val="001A38C1"/>
    <w:rsid w:val="001A68F4"/>
    <w:rsid w:val="001A6CB0"/>
    <w:rsid w:val="001A7AAE"/>
    <w:rsid w:val="001B1D9D"/>
    <w:rsid w:val="001B1FB4"/>
    <w:rsid w:val="001B2FCB"/>
    <w:rsid w:val="001B3D7B"/>
    <w:rsid w:val="001B415E"/>
    <w:rsid w:val="001B511A"/>
    <w:rsid w:val="001B51D9"/>
    <w:rsid w:val="001B57B0"/>
    <w:rsid w:val="001B6380"/>
    <w:rsid w:val="001B6CDE"/>
    <w:rsid w:val="001B7CA3"/>
    <w:rsid w:val="001C022C"/>
    <w:rsid w:val="001C075A"/>
    <w:rsid w:val="001C111C"/>
    <w:rsid w:val="001C1982"/>
    <w:rsid w:val="001C2AB9"/>
    <w:rsid w:val="001C2DD3"/>
    <w:rsid w:val="001C4A8B"/>
    <w:rsid w:val="001C5F62"/>
    <w:rsid w:val="001C6466"/>
    <w:rsid w:val="001C6FB6"/>
    <w:rsid w:val="001D14A1"/>
    <w:rsid w:val="001D1842"/>
    <w:rsid w:val="001D1EAA"/>
    <w:rsid w:val="001D2965"/>
    <w:rsid w:val="001D3577"/>
    <w:rsid w:val="001D3E09"/>
    <w:rsid w:val="001D412B"/>
    <w:rsid w:val="001D4A6E"/>
    <w:rsid w:val="001D4FA8"/>
    <w:rsid w:val="001D504E"/>
    <w:rsid w:val="001D60D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D95"/>
    <w:rsid w:val="001F5B17"/>
    <w:rsid w:val="001F6117"/>
    <w:rsid w:val="001F7A97"/>
    <w:rsid w:val="00200190"/>
    <w:rsid w:val="00200340"/>
    <w:rsid w:val="002010F1"/>
    <w:rsid w:val="0020116F"/>
    <w:rsid w:val="0020138F"/>
    <w:rsid w:val="002023A8"/>
    <w:rsid w:val="002023FE"/>
    <w:rsid w:val="002042A1"/>
    <w:rsid w:val="002045E5"/>
    <w:rsid w:val="0020587A"/>
    <w:rsid w:val="00205B9C"/>
    <w:rsid w:val="00205CD4"/>
    <w:rsid w:val="00206268"/>
    <w:rsid w:val="00206464"/>
    <w:rsid w:val="00206693"/>
    <w:rsid w:val="00207048"/>
    <w:rsid w:val="00207793"/>
    <w:rsid w:val="002107B2"/>
    <w:rsid w:val="0021160E"/>
    <w:rsid w:val="00212651"/>
    <w:rsid w:val="00214991"/>
    <w:rsid w:val="00216F0C"/>
    <w:rsid w:val="00220898"/>
    <w:rsid w:val="00220DFC"/>
    <w:rsid w:val="0022141D"/>
    <w:rsid w:val="002214AD"/>
    <w:rsid w:val="0022182B"/>
    <w:rsid w:val="0022360B"/>
    <w:rsid w:val="00223971"/>
    <w:rsid w:val="0022418F"/>
    <w:rsid w:val="0022499C"/>
    <w:rsid w:val="00224B6C"/>
    <w:rsid w:val="00224CDF"/>
    <w:rsid w:val="00225BF4"/>
    <w:rsid w:val="002261DC"/>
    <w:rsid w:val="002263AA"/>
    <w:rsid w:val="00226AF5"/>
    <w:rsid w:val="002277A5"/>
    <w:rsid w:val="002305E7"/>
    <w:rsid w:val="002313BF"/>
    <w:rsid w:val="00231E54"/>
    <w:rsid w:val="002321E8"/>
    <w:rsid w:val="002322F7"/>
    <w:rsid w:val="002323C1"/>
    <w:rsid w:val="00232798"/>
    <w:rsid w:val="00232E93"/>
    <w:rsid w:val="00232EE8"/>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4831"/>
    <w:rsid w:val="00244958"/>
    <w:rsid w:val="00245B23"/>
    <w:rsid w:val="0024632F"/>
    <w:rsid w:val="00246DE8"/>
    <w:rsid w:val="0024718E"/>
    <w:rsid w:val="0025022A"/>
    <w:rsid w:val="00250854"/>
    <w:rsid w:val="002510CE"/>
    <w:rsid w:val="0025228F"/>
    <w:rsid w:val="00252732"/>
    <w:rsid w:val="002530BE"/>
    <w:rsid w:val="00253180"/>
    <w:rsid w:val="00257195"/>
    <w:rsid w:val="002578D8"/>
    <w:rsid w:val="002613A5"/>
    <w:rsid w:val="00264725"/>
    <w:rsid w:val="00264FEC"/>
    <w:rsid w:val="00267881"/>
    <w:rsid w:val="00270354"/>
    <w:rsid w:val="002723F2"/>
    <w:rsid w:val="00272F6E"/>
    <w:rsid w:val="00273821"/>
    <w:rsid w:val="00273FC1"/>
    <w:rsid w:val="00274E67"/>
    <w:rsid w:val="00275D12"/>
    <w:rsid w:val="00276CD2"/>
    <w:rsid w:val="00276D1E"/>
    <w:rsid w:val="00277A1E"/>
    <w:rsid w:val="00277FDC"/>
    <w:rsid w:val="0028062F"/>
    <w:rsid w:val="002808AD"/>
    <w:rsid w:val="00280FEC"/>
    <w:rsid w:val="00281142"/>
    <w:rsid w:val="00281EB0"/>
    <w:rsid w:val="002822BF"/>
    <w:rsid w:val="0028456D"/>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027E"/>
    <w:rsid w:val="002A0A78"/>
    <w:rsid w:val="002A2511"/>
    <w:rsid w:val="002A261A"/>
    <w:rsid w:val="002A3934"/>
    <w:rsid w:val="002A622D"/>
    <w:rsid w:val="002A65D4"/>
    <w:rsid w:val="002A6FBE"/>
    <w:rsid w:val="002B1C9E"/>
    <w:rsid w:val="002B1E85"/>
    <w:rsid w:val="002B4A9F"/>
    <w:rsid w:val="002B565A"/>
    <w:rsid w:val="002B59FE"/>
    <w:rsid w:val="002B689A"/>
    <w:rsid w:val="002B7766"/>
    <w:rsid w:val="002B7E1A"/>
    <w:rsid w:val="002C0977"/>
    <w:rsid w:val="002C1647"/>
    <w:rsid w:val="002C19BD"/>
    <w:rsid w:val="002C24E5"/>
    <w:rsid w:val="002C2842"/>
    <w:rsid w:val="002C28CD"/>
    <w:rsid w:val="002C3352"/>
    <w:rsid w:val="002C3F9C"/>
    <w:rsid w:val="002C4BB7"/>
    <w:rsid w:val="002C5758"/>
    <w:rsid w:val="002C5BCD"/>
    <w:rsid w:val="002C63B6"/>
    <w:rsid w:val="002C7090"/>
    <w:rsid w:val="002C7216"/>
    <w:rsid w:val="002C73CF"/>
    <w:rsid w:val="002C7B02"/>
    <w:rsid w:val="002D00CD"/>
    <w:rsid w:val="002D1D19"/>
    <w:rsid w:val="002D2931"/>
    <w:rsid w:val="002D2BD6"/>
    <w:rsid w:val="002D32AD"/>
    <w:rsid w:val="002D3445"/>
    <w:rsid w:val="002D3F6E"/>
    <w:rsid w:val="002D4229"/>
    <w:rsid w:val="002D4826"/>
    <w:rsid w:val="002D4B06"/>
    <w:rsid w:val="002D4DCF"/>
    <w:rsid w:val="002D721E"/>
    <w:rsid w:val="002E068A"/>
    <w:rsid w:val="002E0E6D"/>
    <w:rsid w:val="002E16EB"/>
    <w:rsid w:val="002E198C"/>
    <w:rsid w:val="002E2184"/>
    <w:rsid w:val="002E2875"/>
    <w:rsid w:val="002E3EF6"/>
    <w:rsid w:val="002E4216"/>
    <w:rsid w:val="002E4C5F"/>
    <w:rsid w:val="002E5A45"/>
    <w:rsid w:val="002E5E1A"/>
    <w:rsid w:val="002E6C20"/>
    <w:rsid w:val="002E74B9"/>
    <w:rsid w:val="002F03BC"/>
    <w:rsid w:val="002F1E63"/>
    <w:rsid w:val="002F4309"/>
    <w:rsid w:val="002F4657"/>
    <w:rsid w:val="002F55B2"/>
    <w:rsid w:val="002F6463"/>
    <w:rsid w:val="002F6B54"/>
    <w:rsid w:val="002F7A88"/>
    <w:rsid w:val="003001D0"/>
    <w:rsid w:val="00302459"/>
    <w:rsid w:val="003028B2"/>
    <w:rsid w:val="00303323"/>
    <w:rsid w:val="00303421"/>
    <w:rsid w:val="00303DCF"/>
    <w:rsid w:val="003045A8"/>
    <w:rsid w:val="00304F3C"/>
    <w:rsid w:val="00305706"/>
    <w:rsid w:val="00305BD4"/>
    <w:rsid w:val="00305EE5"/>
    <w:rsid w:val="00306620"/>
    <w:rsid w:val="0030696B"/>
    <w:rsid w:val="003079D9"/>
    <w:rsid w:val="00310AAF"/>
    <w:rsid w:val="00310F20"/>
    <w:rsid w:val="0031179C"/>
    <w:rsid w:val="00312856"/>
    <w:rsid w:val="0031543D"/>
    <w:rsid w:val="00315F2F"/>
    <w:rsid w:val="00316D12"/>
    <w:rsid w:val="00316D4A"/>
    <w:rsid w:val="00317A40"/>
    <w:rsid w:val="00317EF0"/>
    <w:rsid w:val="003205DA"/>
    <w:rsid w:val="00320916"/>
    <w:rsid w:val="0032143F"/>
    <w:rsid w:val="003225A2"/>
    <w:rsid w:val="00322BF9"/>
    <w:rsid w:val="00324E7A"/>
    <w:rsid w:val="00325769"/>
    <w:rsid w:val="00325B85"/>
    <w:rsid w:val="00326166"/>
    <w:rsid w:val="00326BAA"/>
    <w:rsid w:val="00326C1A"/>
    <w:rsid w:val="00327C4D"/>
    <w:rsid w:val="00327C80"/>
    <w:rsid w:val="0033143D"/>
    <w:rsid w:val="00331B29"/>
    <w:rsid w:val="00331D74"/>
    <w:rsid w:val="00332B0C"/>
    <w:rsid w:val="00333B90"/>
    <w:rsid w:val="00334763"/>
    <w:rsid w:val="00334BBB"/>
    <w:rsid w:val="00336954"/>
    <w:rsid w:val="003371C6"/>
    <w:rsid w:val="003400B0"/>
    <w:rsid w:val="00340FC5"/>
    <w:rsid w:val="00341115"/>
    <w:rsid w:val="00342A3B"/>
    <w:rsid w:val="003436A3"/>
    <w:rsid w:val="003452B6"/>
    <w:rsid w:val="00347361"/>
    <w:rsid w:val="0035052F"/>
    <w:rsid w:val="00351711"/>
    <w:rsid w:val="00351B7B"/>
    <w:rsid w:val="00351BCD"/>
    <w:rsid w:val="00352A6B"/>
    <w:rsid w:val="0035378A"/>
    <w:rsid w:val="003538B8"/>
    <w:rsid w:val="00353A10"/>
    <w:rsid w:val="00354FD4"/>
    <w:rsid w:val="00355891"/>
    <w:rsid w:val="00355E3A"/>
    <w:rsid w:val="00355E72"/>
    <w:rsid w:val="00356063"/>
    <w:rsid w:val="003561A9"/>
    <w:rsid w:val="00357A1A"/>
    <w:rsid w:val="003601FD"/>
    <w:rsid w:val="00360667"/>
    <w:rsid w:val="003616A4"/>
    <w:rsid w:val="00361D36"/>
    <w:rsid w:val="003621A3"/>
    <w:rsid w:val="00362400"/>
    <w:rsid w:val="003643D7"/>
    <w:rsid w:val="00366CCB"/>
    <w:rsid w:val="00366FA1"/>
    <w:rsid w:val="00367757"/>
    <w:rsid w:val="0037004C"/>
    <w:rsid w:val="003703CB"/>
    <w:rsid w:val="00370839"/>
    <w:rsid w:val="0037119B"/>
    <w:rsid w:val="003716D6"/>
    <w:rsid w:val="00371EED"/>
    <w:rsid w:val="00372A7D"/>
    <w:rsid w:val="00373E10"/>
    <w:rsid w:val="0037427C"/>
    <w:rsid w:val="003760CC"/>
    <w:rsid w:val="00380EBB"/>
    <w:rsid w:val="003817B5"/>
    <w:rsid w:val="003819DC"/>
    <w:rsid w:val="00381C0D"/>
    <w:rsid w:val="00381F6C"/>
    <w:rsid w:val="00382B41"/>
    <w:rsid w:val="00384193"/>
    <w:rsid w:val="00384EED"/>
    <w:rsid w:val="003862C3"/>
    <w:rsid w:val="00387985"/>
    <w:rsid w:val="00390EDA"/>
    <w:rsid w:val="00390F43"/>
    <w:rsid w:val="003917E3"/>
    <w:rsid w:val="00391BE3"/>
    <w:rsid w:val="003923AD"/>
    <w:rsid w:val="00393AB1"/>
    <w:rsid w:val="00393C91"/>
    <w:rsid w:val="00393FA3"/>
    <w:rsid w:val="0039412B"/>
    <w:rsid w:val="00394CF5"/>
    <w:rsid w:val="0039604D"/>
    <w:rsid w:val="00396450"/>
    <w:rsid w:val="003A0E1A"/>
    <w:rsid w:val="003A2E9C"/>
    <w:rsid w:val="003A38B6"/>
    <w:rsid w:val="003A41E4"/>
    <w:rsid w:val="003A4FE1"/>
    <w:rsid w:val="003A557A"/>
    <w:rsid w:val="003A6C6C"/>
    <w:rsid w:val="003A6D6C"/>
    <w:rsid w:val="003A7807"/>
    <w:rsid w:val="003B3117"/>
    <w:rsid w:val="003B5800"/>
    <w:rsid w:val="003B7C7F"/>
    <w:rsid w:val="003C1312"/>
    <w:rsid w:val="003C2BDE"/>
    <w:rsid w:val="003C3310"/>
    <w:rsid w:val="003C42C3"/>
    <w:rsid w:val="003C4C53"/>
    <w:rsid w:val="003C5672"/>
    <w:rsid w:val="003C6D51"/>
    <w:rsid w:val="003C7216"/>
    <w:rsid w:val="003C770C"/>
    <w:rsid w:val="003D0F1F"/>
    <w:rsid w:val="003D17A2"/>
    <w:rsid w:val="003D1A37"/>
    <w:rsid w:val="003D4B4C"/>
    <w:rsid w:val="003D4CBF"/>
    <w:rsid w:val="003D5C21"/>
    <w:rsid w:val="003D5DCB"/>
    <w:rsid w:val="003D636A"/>
    <w:rsid w:val="003D6692"/>
    <w:rsid w:val="003D6F36"/>
    <w:rsid w:val="003E0E02"/>
    <w:rsid w:val="003E0E80"/>
    <w:rsid w:val="003E23C0"/>
    <w:rsid w:val="003E2447"/>
    <w:rsid w:val="003E36DB"/>
    <w:rsid w:val="003E3ABC"/>
    <w:rsid w:val="003E47BE"/>
    <w:rsid w:val="003E4A66"/>
    <w:rsid w:val="003E4F0B"/>
    <w:rsid w:val="003E576C"/>
    <w:rsid w:val="003E6759"/>
    <w:rsid w:val="003E69F6"/>
    <w:rsid w:val="003E6C2A"/>
    <w:rsid w:val="003E71D0"/>
    <w:rsid w:val="003E7F9C"/>
    <w:rsid w:val="003F1194"/>
    <w:rsid w:val="003F1A72"/>
    <w:rsid w:val="003F1DA4"/>
    <w:rsid w:val="003F21A6"/>
    <w:rsid w:val="003F2306"/>
    <w:rsid w:val="003F23D8"/>
    <w:rsid w:val="003F27A3"/>
    <w:rsid w:val="003F27D5"/>
    <w:rsid w:val="003F2910"/>
    <w:rsid w:val="003F2930"/>
    <w:rsid w:val="003F5304"/>
    <w:rsid w:val="003F5516"/>
    <w:rsid w:val="003F5774"/>
    <w:rsid w:val="003F6A59"/>
    <w:rsid w:val="003F6DF2"/>
    <w:rsid w:val="004013A4"/>
    <w:rsid w:val="00405C20"/>
    <w:rsid w:val="00406080"/>
    <w:rsid w:val="0040734E"/>
    <w:rsid w:val="00407AFD"/>
    <w:rsid w:val="00407F9F"/>
    <w:rsid w:val="004122AC"/>
    <w:rsid w:val="004128A8"/>
    <w:rsid w:val="004131D9"/>
    <w:rsid w:val="0041390E"/>
    <w:rsid w:val="00413B07"/>
    <w:rsid w:val="004140A3"/>
    <w:rsid w:val="00414BB3"/>
    <w:rsid w:val="00415963"/>
    <w:rsid w:val="0041669D"/>
    <w:rsid w:val="00416961"/>
    <w:rsid w:val="00416AC5"/>
    <w:rsid w:val="0041713C"/>
    <w:rsid w:val="00417E4B"/>
    <w:rsid w:val="004201F7"/>
    <w:rsid w:val="00421396"/>
    <w:rsid w:val="00421EAB"/>
    <w:rsid w:val="00422223"/>
    <w:rsid w:val="00424917"/>
    <w:rsid w:val="0042735E"/>
    <w:rsid w:val="004304DF"/>
    <w:rsid w:val="00431BDF"/>
    <w:rsid w:val="00433E63"/>
    <w:rsid w:val="00434BE2"/>
    <w:rsid w:val="00435C19"/>
    <w:rsid w:val="00435C42"/>
    <w:rsid w:val="00437000"/>
    <w:rsid w:val="004376DF"/>
    <w:rsid w:val="00437A99"/>
    <w:rsid w:val="00441012"/>
    <w:rsid w:val="00444204"/>
    <w:rsid w:val="00444983"/>
    <w:rsid w:val="00444E0B"/>
    <w:rsid w:val="00444F8C"/>
    <w:rsid w:val="004453C9"/>
    <w:rsid w:val="00445A1C"/>
    <w:rsid w:val="0044674B"/>
    <w:rsid w:val="00446771"/>
    <w:rsid w:val="00450294"/>
    <w:rsid w:val="0045070B"/>
    <w:rsid w:val="00453767"/>
    <w:rsid w:val="00453897"/>
    <w:rsid w:val="00454B84"/>
    <w:rsid w:val="004555BE"/>
    <w:rsid w:val="00455F90"/>
    <w:rsid w:val="004567A8"/>
    <w:rsid w:val="00456EF9"/>
    <w:rsid w:val="00456FB2"/>
    <w:rsid w:val="0046072B"/>
    <w:rsid w:val="004607BA"/>
    <w:rsid w:val="00460DFE"/>
    <w:rsid w:val="00463EDC"/>
    <w:rsid w:val="004667D7"/>
    <w:rsid w:val="00466B68"/>
    <w:rsid w:val="00467069"/>
    <w:rsid w:val="004678D4"/>
    <w:rsid w:val="0047121C"/>
    <w:rsid w:val="0047197D"/>
    <w:rsid w:val="00471C06"/>
    <w:rsid w:val="00471E6F"/>
    <w:rsid w:val="00472352"/>
    <w:rsid w:val="00472CD6"/>
    <w:rsid w:val="004736B9"/>
    <w:rsid w:val="00473B6E"/>
    <w:rsid w:val="0047550E"/>
    <w:rsid w:val="00475FA8"/>
    <w:rsid w:val="004761B3"/>
    <w:rsid w:val="00476F27"/>
    <w:rsid w:val="0047739E"/>
    <w:rsid w:val="00477910"/>
    <w:rsid w:val="004812A6"/>
    <w:rsid w:val="004822A4"/>
    <w:rsid w:val="00482E0A"/>
    <w:rsid w:val="004831BA"/>
    <w:rsid w:val="00483D3E"/>
    <w:rsid w:val="00483ED7"/>
    <w:rsid w:val="004861D6"/>
    <w:rsid w:val="004865D5"/>
    <w:rsid w:val="00486D5B"/>
    <w:rsid w:val="004905B3"/>
    <w:rsid w:val="004907EA"/>
    <w:rsid w:val="0049166A"/>
    <w:rsid w:val="00491C2A"/>
    <w:rsid w:val="00491F4A"/>
    <w:rsid w:val="00492263"/>
    <w:rsid w:val="00492450"/>
    <w:rsid w:val="00492966"/>
    <w:rsid w:val="004938DF"/>
    <w:rsid w:val="00493D19"/>
    <w:rsid w:val="00494A79"/>
    <w:rsid w:val="00494E96"/>
    <w:rsid w:val="00495A6C"/>
    <w:rsid w:val="00496A9B"/>
    <w:rsid w:val="004A057E"/>
    <w:rsid w:val="004A1824"/>
    <w:rsid w:val="004A2817"/>
    <w:rsid w:val="004A2EF8"/>
    <w:rsid w:val="004A35BF"/>
    <w:rsid w:val="004A3677"/>
    <w:rsid w:val="004A3771"/>
    <w:rsid w:val="004A3E04"/>
    <w:rsid w:val="004A49E9"/>
    <w:rsid w:val="004A58B2"/>
    <w:rsid w:val="004A59FC"/>
    <w:rsid w:val="004A66C7"/>
    <w:rsid w:val="004A6E92"/>
    <w:rsid w:val="004A715A"/>
    <w:rsid w:val="004A724B"/>
    <w:rsid w:val="004A7C06"/>
    <w:rsid w:val="004B3D21"/>
    <w:rsid w:val="004B4C38"/>
    <w:rsid w:val="004B5426"/>
    <w:rsid w:val="004B5622"/>
    <w:rsid w:val="004B73E3"/>
    <w:rsid w:val="004C08C2"/>
    <w:rsid w:val="004C13B5"/>
    <w:rsid w:val="004C4FA4"/>
    <w:rsid w:val="004C5480"/>
    <w:rsid w:val="004C5649"/>
    <w:rsid w:val="004C702B"/>
    <w:rsid w:val="004C7705"/>
    <w:rsid w:val="004D0597"/>
    <w:rsid w:val="004D1F98"/>
    <w:rsid w:val="004D221A"/>
    <w:rsid w:val="004D244F"/>
    <w:rsid w:val="004D38E6"/>
    <w:rsid w:val="004D4583"/>
    <w:rsid w:val="004D5606"/>
    <w:rsid w:val="004D6157"/>
    <w:rsid w:val="004D679B"/>
    <w:rsid w:val="004D763E"/>
    <w:rsid w:val="004E049C"/>
    <w:rsid w:val="004E118E"/>
    <w:rsid w:val="004E1D68"/>
    <w:rsid w:val="004E22D6"/>
    <w:rsid w:val="004E3011"/>
    <w:rsid w:val="004E33FC"/>
    <w:rsid w:val="004E5015"/>
    <w:rsid w:val="004E5D58"/>
    <w:rsid w:val="004E6920"/>
    <w:rsid w:val="004E6FFA"/>
    <w:rsid w:val="004E7EAF"/>
    <w:rsid w:val="004F00FE"/>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3C67"/>
    <w:rsid w:val="005044EC"/>
    <w:rsid w:val="00504E75"/>
    <w:rsid w:val="005058E9"/>
    <w:rsid w:val="00506CEC"/>
    <w:rsid w:val="00510F75"/>
    <w:rsid w:val="005125DD"/>
    <w:rsid w:val="00512908"/>
    <w:rsid w:val="00512BD3"/>
    <w:rsid w:val="0051371E"/>
    <w:rsid w:val="00514BA5"/>
    <w:rsid w:val="00514D26"/>
    <w:rsid w:val="00516344"/>
    <w:rsid w:val="0051671D"/>
    <w:rsid w:val="00516808"/>
    <w:rsid w:val="005178E5"/>
    <w:rsid w:val="00517BE8"/>
    <w:rsid w:val="005203B7"/>
    <w:rsid w:val="0052072E"/>
    <w:rsid w:val="005223F3"/>
    <w:rsid w:val="00522A48"/>
    <w:rsid w:val="00523857"/>
    <w:rsid w:val="00523B56"/>
    <w:rsid w:val="005242AC"/>
    <w:rsid w:val="00524686"/>
    <w:rsid w:val="005266F6"/>
    <w:rsid w:val="00526805"/>
    <w:rsid w:val="00526910"/>
    <w:rsid w:val="0052757D"/>
    <w:rsid w:val="0052770D"/>
    <w:rsid w:val="00527855"/>
    <w:rsid w:val="005304D0"/>
    <w:rsid w:val="00530D6B"/>
    <w:rsid w:val="00530F73"/>
    <w:rsid w:val="0053145E"/>
    <w:rsid w:val="00531613"/>
    <w:rsid w:val="00531843"/>
    <w:rsid w:val="0053195E"/>
    <w:rsid w:val="00531C66"/>
    <w:rsid w:val="00532535"/>
    <w:rsid w:val="005325DA"/>
    <w:rsid w:val="00532F2B"/>
    <w:rsid w:val="005330EE"/>
    <w:rsid w:val="00534E8B"/>
    <w:rsid w:val="005357B3"/>
    <w:rsid w:val="005365BE"/>
    <w:rsid w:val="00537BD1"/>
    <w:rsid w:val="0054059A"/>
    <w:rsid w:val="00541256"/>
    <w:rsid w:val="00542AC7"/>
    <w:rsid w:val="0054438E"/>
    <w:rsid w:val="00546EF4"/>
    <w:rsid w:val="0054785C"/>
    <w:rsid w:val="005501A1"/>
    <w:rsid w:val="00550DD0"/>
    <w:rsid w:val="00551346"/>
    <w:rsid w:val="00551C3E"/>
    <w:rsid w:val="00551DDD"/>
    <w:rsid w:val="00551F30"/>
    <w:rsid w:val="00552D60"/>
    <w:rsid w:val="005535FA"/>
    <w:rsid w:val="00553B83"/>
    <w:rsid w:val="005546C7"/>
    <w:rsid w:val="005548E3"/>
    <w:rsid w:val="00555282"/>
    <w:rsid w:val="005554DB"/>
    <w:rsid w:val="00556339"/>
    <w:rsid w:val="00557C6C"/>
    <w:rsid w:val="005602B5"/>
    <w:rsid w:val="005606F3"/>
    <w:rsid w:val="005609CE"/>
    <w:rsid w:val="005634D7"/>
    <w:rsid w:val="00563E4A"/>
    <w:rsid w:val="005646BF"/>
    <w:rsid w:val="005650FA"/>
    <w:rsid w:val="00566E95"/>
    <w:rsid w:val="0056791E"/>
    <w:rsid w:val="00567D14"/>
    <w:rsid w:val="00567EB3"/>
    <w:rsid w:val="00572763"/>
    <w:rsid w:val="00572797"/>
    <w:rsid w:val="005728A9"/>
    <w:rsid w:val="00572B6C"/>
    <w:rsid w:val="00572D3D"/>
    <w:rsid w:val="00572F50"/>
    <w:rsid w:val="00573C46"/>
    <w:rsid w:val="00573CE7"/>
    <w:rsid w:val="00573DBE"/>
    <w:rsid w:val="00573E45"/>
    <w:rsid w:val="0057426E"/>
    <w:rsid w:val="00575C14"/>
    <w:rsid w:val="00576B52"/>
    <w:rsid w:val="00577754"/>
    <w:rsid w:val="00577E0F"/>
    <w:rsid w:val="0058102B"/>
    <w:rsid w:val="005831DD"/>
    <w:rsid w:val="005835EB"/>
    <w:rsid w:val="00583D3F"/>
    <w:rsid w:val="0058472F"/>
    <w:rsid w:val="00584912"/>
    <w:rsid w:val="005865D8"/>
    <w:rsid w:val="00586DD7"/>
    <w:rsid w:val="00586F21"/>
    <w:rsid w:val="00587AFB"/>
    <w:rsid w:val="00592BDE"/>
    <w:rsid w:val="005932C6"/>
    <w:rsid w:val="005936AE"/>
    <w:rsid w:val="005936AF"/>
    <w:rsid w:val="005944E5"/>
    <w:rsid w:val="00595823"/>
    <w:rsid w:val="0059611C"/>
    <w:rsid w:val="005A27D7"/>
    <w:rsid w:val="005A2C0F"/>
    <w:rsid w:val="005A3E77"/>
    <w:rsid w:val="005A5317"/>
    <w:rsid w:val="005A5B67"/>
    <w:rsid w:val="005A6F63"/>
    <w:rsid w:val="005A77C6"/>
    <w:rsid w:val="005A7971"/>
    <w:rsid w:val="005B0621"/>
    <w:rsid w:val="005B142A"/>
    <w:rsid w:val="005B17D5"/>
    <w:rsid w:val="005B21D8"/>
    <w:rsid w:val="005B286F"/>
    <w:rsid w:val="005B288E"/>
    <w:rsid w:val="005B4205"/>
    <w:rsid w:val="005B5098"/>
    <w:rsid w:val="005B57AD"/>
    <w:rsid w:val="005B662F"/>
    <w:rsid w:val="005B79EA"/>
    <w:rsid w:val="005B7BFF"/>
    <w:rsid w:val="005C0B1C"/>
    <w:rsid w:val="005C25B7"/>
    <w:rsid w:val="005C36E5"/>
    <w:rsid w:val="005C3EA0"/>
    <w:rsid w:val="005C7656"/>
    <w:rsid w:val="005C7ADC"/>
    <w:rsid w:val="005D0520"/>
    <w:rsid w:val="005D1877"/>
    <w:rsid w:val="005D1DAC"/>
    <w:rsid w:val="005D26F0"/>
    <w:rsid w:val="005D2E91"/>
    <w:rsid w:val="005D38FB"/>
    <w:rsid w:val="005D3FF5"/>
    <w:rsid w:val="005D5A2E"/>
    <w:rsid w:val="005E0079"/>
    <w:rsid w:val="005E066C"/>
    <w:rsid w:val="005E2409"/>
    <w:rsid w:val="005E2C44"/>
    <w:rsid w:val="005E300B"/>
    <w:rsid w:val="005E3280"/>
    <w:rsid w:val="005E45B9"/>
    <w:rsid w:val="005E5A4E"/>
    <w:rsid w:val="005E64D8"/>
    <w:rsid w:val="005F0E08"/>
    <w:rsid w:val="005F1896"/>
    <w:rsid w:val="005F1E5C"/>
    <w:rsid w:val="005F48CD"/>
    <w:rsid w:val="005F573F"/>
    <w:rsid w:val="00600BB7"/>
    <w:rsid w:val="00600E5D"/>
    <w:rsid w:val="006012B9"/>
    <w:rsid w:val="00602547"/>
    <w:rsid w:val="006050F1"/>
    <w:rsid w:val="00606F7E"/>
    <w:rsid w:val="00607113"/>
    <w:rsid w:val="0060735B"/>
    <w:rsid w:val="0060743C"/>
    <w:rsid w:val="006079DE"/>
    <w:rsid w:val="00607F43"/>
    <w:rsid w:val="00610758"/>
    <w:rsid w:val="0061083C"/>
    <w:rsid w:val="0061138D"/>
    <w:rsid w:val="00611D7A"/>
    <w:rsid w:val="00612052"/>
    <w:rsid w:val="00613E08"/>
    <w:rsid w:val="00615149"/>
    <w:rsid w:val="00615C80"/>
    <w:rsid w:val="00615EEE"/>
    <w:rsid w:val="00620A40"/>
    <w:rsid w:val="00620B0F"/>
    <w:rsid w:val="00621D26"/>
    <w:rsid w:val="00622936"/>
    <w:rsid w:val="00623FA7"/>
    <w:rsid w:val="00625940"/>
    <w:rsid w:val="00625CEF"/>
    <w:rsid w:val="00627584"/>
    <w:rsid w:val="0062772E"/>
    <w:rsid w:val="00627890"/>
    <w:rsid w:val="00627D95"/>
    <w:rsid w:val="00630165"/>
    <w:rsid w:val="006302A6"/>
    <w:rsid w:val="00630D2E"/>
    <w:rsid w:val="00631181"/>
    <w:rsid w:val="006318BB"/>
    <w:rsid w:val="006331A6"/>
    <w:rsid w:val="0063381B"/>
    <w:rsid w:val="00634784"/>
    <w:rsid w:val="0063479F"/>
    <w:rsid w:val="00634C72"/>
    <w:rsid w:val="00635D14"/>
    <w:rsid w:val="00637793"/>
    <w:rsid w:val="006407A8"/>
    <w:rsid w:val="00641134"/>
    <w:rsid w:val="006418C7"/>
    <w:rsid w:val="006429F8"/>
    <w:rsid w:val="006438A5"/>
    <w:rsid w:val="006439F7"/>
    <w:rsid w:val="00643D70"/>
    <w:rsid w:val="00643FDE"/>
    <w:rsid w:val="0064476B"/>
    <w:rsid w:val="00646458"/>
    <w:rsid w:val="00647E1E"/>
    <w:rsid w:val="00650801"/>
    <w:rsid w:val="00652E41"/>
    <w:rsid w:val="00653D47"/>
    <w:rsid w:val="0065407D"/>
    <w:rsid w:val="00654A1C"/>
    <w:rsid w:val="00656298"/>
    <w:rsid w:val="00657704"/>
    <w:rsid w:val="0066041B"/>
    <w:rsid w:val="00661863"/>
    <w:rsid w:val="00661F1C"/>
    <w:rsid w:val="006631D6"/>
    <w:rsid w:val="006631D9"/>
    <w:rsid w:val="006645D7"/>
    <w:rsid w:val="00664C7E"/>
    <w:rsid w:val="0066605D"/>
    <w:rsid w:val="006660C6"/>
    <w:rsid w:val="00666395"/>
    <w:rsid w:val="00666DD8"/>
    <w:rsid w:val="006705F0"/>
    <w:rsid w:val="00670B5A"/>
    <w:rsid w:val="00670B7C"/>
    <w:rsid w:val="00670E91"/>
    <w:rsid w:val="0067123B"/>
    <w:rsid w:val="00671283"/>
    <w:rsid w:val="006726F6"/>
    <w:rsid w:val="0067361E"/>
    <w:rsid w:val="00673B4E"/>
    <w:rsid w:val="00673F38"/>
    <w:rsid w:val="0067451A"/>
    <w:rsid w:val="00674A87"/>
    <w:rsid w:val="006765FF"/>
    <w:rsid w:val="00681497"/>
    <w:rsid w:val="00683590"/>
    <w:rsid w:val="00683A98"/>
    <w:rsid w:val="0068422A"/>
    <w:rsid w:val="00684317"/>
    <w:rsid w:val="006853A9"/>
    <w:rsid w:val="00685676"/>
    <w:rsid w:val="00685CB5"/>
    <w:rsid w:val="00687219"/>
    <w:rsid w:val="0068764D"/>
    <w:rsid w:val="00687ED1"/>
    <w:rsid w:val="006906C2"/>
    <w:rsid w:val="00690D77"/>
    <w:rsid w:val="00693A52"/>
    <w:rsid w:val="00694F02"/>
    <w:rsid w:val="00696285"/>
    <w:rsid w:val="006A0DED"/>
    <w:rsid w:val="006A3B64"/>
    <w:rsid w:val="006A443D"/>
    <w:rsid w:val="006A4BC4"/>
    <w:rsid w:val="006A664F"/>
    <w:rsid w:val="006A6838"/>
    <w:rsid w:val="006A6843"/>
    <w:rsid w:val="006A6996"/>
    <w:rsid w:val="006A6C31"/>
    <w:rsid w:val="006A7D8F"/>
    <w:rsid w:val="006B007A"/>
    <w:rsid w:val="006B178C"/>
    <w:rsid w:val="006B1CA7"/>
    <w:rsid w:val="006B2F6F"/>
    <w:rsid w:val="006B4EF4"/>
    <w:rsid w:val="006B5246"/>
    <w:rsid w:val="006C09F2"/>
    <w:rsid w:val="006C0EE6"/>
    <w:rsid w:val="006C366D"/>
    <w:rsid w:val="006C3E60"/>
    <w:rsid w:val="006C59B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F0E"/>
    <w:rsid w:val="006F0F5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A35"/>
    <w:rsid w:val="00707064"/>
    <w:rsid w:val="00707D3A"/>
    <w:rsid w:val="0071066D"/>
    <w:rsid w:val="007125B7"/>
    <w:rsid w:val="00712AA2"/>
    <w:rsid w:val="00712F5A"/>
    <w:rsid w:val="007132D7"/>
    <w:rsid w:val="007136BA"/>
    <w:rsid w:val="00713EA5"/>
    <w:rsid w:val="007156C4"/>
    <w:rsid w:val="007174EE"/>
    <w:rsid w:val="00720498"/>
    <w:rsid w:val="00720AED"/>
    <w:rsid w:val="00720CE4"/>
    <w:rsid w:val="00721BB2"/>
    <w:rsid w:val="0072338B"/>
    <w:rsid w:val="007237E8"/>
    <w:rsid w:val="00726AB8"/>
    <w:rsid w:val="00726B79"/>
    <w:rsid w:val="00726B94"/>
    <w:rsid w:val="007277FE"/>
    <w:rsid w:val="007304DD"/>
    <w:rsid w:val="007310F2"/>
    <w:rsid w:val="007316DF"/>
    <w:rsid w:val="007320A6"/>
    <w:rsid w:val="00732E28"/>
    <w:rsid w:val="00733013"/>
    <w:rsid w:val="00733D85"/>
    <w:rsid w:val="007359D7"/>
    <w:rsid w:val="007378BA"/>
    <w:rsid w:val="00740166"/>
    <w:rsid w:val="0074377F"/>
    <w:rsid w:val="00744523"/>
    <w:rsid w:val="0074579D"/>
    <w:rsid w:val="007464A1"/>
    <w:rsid w:val="00746768"/>
    <w:rsid w:val="007468E1"/>
    <w:rsid w:val="00746DAC"/>
    <w:rsid w:val="007503B9"/>
    <w:rsid w:val="007506E8"/>
    <w:rsid w:val="00750CB2"/>
    <w:rsid w:val="0075136C"/>
    <w:rsid w:val="0075286F"/>
    <w:rsid w:val="00752B81"/>
    <w:rsid w:val="007538D1"/>
    <w:rsid w:val="00753A02"/>
    <w:rsid w:val="0075402D"/>
    <w:rsid w:val="00754097"/>
    <w:rsid w:val="0075508C"/>
    <w:rsid w:val="0076160B"/>
    <w:rsid w:val="00761AD4"/>
    <w:rsid w:val="00761B4E"/>
    <w:rsid w:val="00762CFC"/>
    <w:rsid w:val="00763E2F"/>
    <w:rsid w:val="007652AA"/>
    <w:rsid w:val="00765492"/>
    <w:rsid w:val="007659A7"/>
    <w:rsid w:val="00766154"/>
    <w:rsid w:val="007678AB"/>
    <w:rsid w:val="007678C0"/>
    <w:rsid w:val="007700E9"/>
    <w:rsid w:val="007711D0"/>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919"/>
    <w:rsid w:val="00792CD6"/>
    <w:rsid w:val="007931BA"/>
    <w:rsid w:val="00793961"/>
    <w:rsid w:val="0079442D"/>
    <w:rsid w:val="00794441"/>
    <w:rsid w:val="00795E88"/>
    <w:rsid w:val="00796155"/>
    <w:rsid w:val="00796522"/>
    <w:rsid w:val="007969C5"/>
    <w:rsid w:val="00797BD6"/>
    <w:rsid w:val="00797D98"/>
    <w:rsid w:val="007A1C1D"/>
    <w:rsid w:val="007A4999"/>
    <w:rsid w:val="007A4CD1"/>
    <w:rsid w:val="007A76A0"/>
    <w:rsid w:val="007B0392"/>
    <w:rsid w:val="007B093B"/>
    <w:rsid w:val="007B2673"/>
    <w:rsid w:val="007B446A"/>
    <w:rsid w:val="007B508F"/>
    <w:rsid w:val="007B512A"/>
    <w:rsid w:val="007B5967"/>
    <w:rsid w:val="007B6720"/>
    <w:rsid w:val="007B6732"/>
    <w:rsid w:val="007B744C"/>
    <w:rsid w:val="007B74F1"/>
    <w:rsid w:val="007C10EB"/>
    <w:rsid w:val="007C1493"/>
    <w:rsid w:val="007C1ABF"/>
    <w:rsid w:val="007C2370"/>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284"/>
    <w:rsid w:val="007E2488"/>
    <w:rsid w:val="007E26C6"/>
    <w:rsid w:val="007E3B8F"/>
    <w:rsid w:val="007E6913"/>
    <w:rsid w:val="007E6F16"/>
    <w:rsid w:val="007E7FB5"/>
    <w:rsid w:val="007E7FB6"/>
    <w:rsid w:val="007F0E6B"/>
    <w:rsid w:val="007F11E8"/>
    <w:rsid w:val="007F12FC"/>
    <w:rsid w:val="007F1803"/>
    <w:rsid w:val="007F2759"/>
    <w:rsid w:val="007F423E"/>
    <w:rsid w:val="007F4E74"/>
    <w:rsid w:val="007F749D"/>
    <w:rsid w:val="007F750E"/>
    <w:rsid w:val="007F7A8D"/>
    <w:rsid w:val="007F7ACC"/>
    <w:rsid w:val="00801805"/>
    <w:rsid w:val="00801B02"/>
    <w:rsid w:val="00804A7D"/>
    <w:rsid w:val="00807E69"/>
    <w:rsid w:val="00810F18"/>
    <w:rsid w:val="00811EB2"/>
    <w:rsid w:val="00812F30"/>
    <w:rsid w:val="00814156"/>
    <w:rsid w:val="0081698B"/>
    <w:rsid w:val="00817CF7"/>
    <w:rsid w:val="00822F59"/>
    <w:rsid w:val="0082326C"/>
    <w:rsid w:val="008236A1"/>
    <w:rsid w:val="008247B4"/>
    <w:rsid w:val="00825DD0"/>
    <w:rsid w:val="00826975"/>
    <w:rsid w:val="00827178"/>
    <w:rsid w:val="00827A16"/>
    <w:rsid w:val="00827BE8"/>
    <w:rsid w:val="0083056C"/>
    <w:rsid w:val="008308C5"/>
    <w:rsid w:val="00830A11"/>
    <w:rsid w:val="00830B48"/>
    <w:rsid w:val="008316E1"/>
    <w:rsid w:val="0083245A"/>
    <w:rsid w:val="00832522"/>
    <w:rsid w:val="00832EE8"/>
    <w:rsid w:val="00833076"/>
    <w:rsid w:val="008341DD"/>
    <w:rsid w:val="00835204"/>
    <w:rsid w:val="0083568C"/>
    <w:rsid w:val="0083606D"/>
    <w:rsid w:val="00836974"/>
    <w:rsid w:val="00837CCB"/>
    <w:rsid w:val="00837EEB"/>
    <w:rsid w:val="008421D3"/>
    <w:rsid w:val="00842F5B"/>
    <w:rsid w:val="00843B67"/>
    <w:rsid w:val="0084422A"/>
    <w:rsid w:val="00846CB7"/>
    <w:rsid w:val="00847222"/>
    <w:rsid w:val="00847343"/>
    <w:rsid w:val="0085056E"/>
    <w:rsid w:val="00851F1E"/>
    <w:rsid w:val="008525BE"/>
    <w:rsid w:val="0085301F"/>
    <w:rsid w:val="008537FC"/>
    <w:rsid w:val="00855B68"/>
    <w:rsid w:val="0085631C"/>
    <w:rsid w:val="0085641C"/>
    <w:rsid w:val="008606CB"/>
    <w:rsid w:val="00861239"/>
    <w:rsid w:val="008643E9"/>
    <w:rsid w:val="00865ACD"/>
    <w:rsid w:val="00865D8C"/>
    <w:rsid w:val="0086790E"/>
    <w:rsid w:val="00871927"/>
    <w:rsid w:val="00872665"/>
    <w:rsid w:val="00872C69"/>
    <w:rsid w:val="00873AA0"/>
    <w:rsid w:val="00874E26"/>
    <w:rsid w:val="008765D3"/>
    <w:rsid w:val="00876C61"/>
    <w:rsid w:val="008809A6"/>
    <w:rsid w:val="00880B5B"/>
    <w:rsid w:val="0088193D"/>
    <w:rsid w:val="00881BC8"/>
    <w:rsid w:val="008838A3"/>
    <w:rsid w:val="00884DB8"/>
    <w:rsid w:val="00884E52"/>
    <w:rsid w:val="008851E6"/>
    <w:rsid w:val="00885747"/>
    <w:rsid w:val="008860B9"/>
    <w:rsid w:val="0088677B"/>
    <w:rsid w:val="00890994"/>
    <w:rsid w:val="00890C7C"/>
    <w:rsid w:val="00890F8C"/>
    <w:rsid w:val="008922C2"/>
    <w:rsid w:val="00892701"/>
    <w:rsid w:val="008946B7"/>
    <w:rsid w:val="00894ACC"/>
    <w:rsid w:val="00897872"/>
    <w:rsid w:val="008A0411"/>
    <w:rsid w:val="008A07B6"/>
    <w:rsid w:val="008A1674"/>
    <w:rsid w:val="008A1CC0"/>
    <w:rsid w:val="008A4B74"/>
    <w:rsid w:val="008A58C6"/>
    <w:rsid w:val="008A5EF1"/>
    <w:rsid w:val="008A60C1"/>
    <w:rsid w:val="008A6681"/>
    <w:rsid w:val="008A6A6E"/>
    <w:rsid w:val="008A6E23"/>
    <w:rsid w:val="008A701C"/>
    <w:rsid w:val="008A7C51"/>
    <w:rsid w:val="008B03C4"/>
    <w:rsid w:val="008B1A4E"/>
    <w:rsid w:val="008B2872"/>
    <w:rsid w:val="008B291E"/>
    <w:rsid w:val="008B751B"/>
    <w:rsid w:val="008C0375"/>
    <w:rsid w:val="008C0559"/>
    <w:rsid w:val="008C0CFF"/>
    <w:rsid w:val="008C1293"/>
    <w:rsid w:val="008C1E98"/>
    <w:rsid w:val="008C2871"/>
    <w:rsid w:val="008C320D"/>
    <w:rsid w:val="008C4075"/>
    <w:rsid w:val="008C53F3"/>
    <w:rsid w:val="008C706F"/>
    <w:rsid w:val="008C7645"/>
    <w:rsid w:val="008C789A"/>
    <w:rsid w:val="008C7D0D"/>
    <w:rsid w:val="008D0305"/>
    <w:rsid w:val="008D0901"/>
    <w:rsid w:val="008D1335"/>
    <w:rsid w:val="008D1CC6"/>
    <w:rsid w:val="008D2C81"/>
    <w:rsid w:val="008D30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02C"/>
    <w:rsid w:val="0090710A"/>
    <w:rsid w:val="00910004"/>
    <w:rsid w:val="009118A8"/>
    <w:rsid w:val="00916611"/>
    <w:rsid w:val="009173E2"/>
    <w:rsid w:val="0091792E"/>
    <w:rsid w:val="00920974"/>
    <w:rsid w:val="009222D0"/>
    <w:rsid w:val="00922665"/>
    <w:rsid w:val="00922D7C"/>
    <w:rsid w:val="009239BB"/>
    <w:rsid w:val="009247FA"/>
    <w:rsid w:val="00924B93"/>
    <w:rsid w:val="0092516E"/>
    <w:rsid w:val="00925717"/>
    <w:rsid w:val="00926114"/>
    <w:rsid w:val="00926F15"/>
    <w:rsid w:val="00927857"/>
    <w:rsid w:val="00931E63"/>
    <w:rsid w:val="00932114"/>
    <w:rsid w:val="00932A6F"/>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DB3"/>
    <w:rsid w:val="00950BB4"/>
    <w:rsid w:val="00951CDA"/>
    <w:rsid w:val="00952D07"/>
    <w:rsid w:val="00952DFC"/>
    <w:rsid w:val="009532B9"/>
    <w:rsid w:val="0095464A"/>
    <w:rsid w:val="00954A16"/>
    <w:rsid w:val="00955911"/>
    <w:rsid w:val="00955C83"/>
    <w:rsid w:val="00955CCF"/>
    <w:rsid w:val="00955EC7"/>
    <w:rsid w:val="009568A6"/>
    <w:rsid w:val="00956F3A"/>
    <w:rsid w:val="009612A1"/>
    <w:rsid w:val="00964DEA"/>
    <w:rsid w:val="0096613F"/>
    <w:rsid w:val="00966747"/>
    <w:rsid w:val="00966C39"/>
    <w:rsid w:val="00966E9C"/>
    <w:rsid w:val="00967109"/>
    <w:rsid w:val="00967370"/>
    <w:rsid w:val="00967BBC"/>
    <w:rsid w:val="00970CE1"/>
    <w:rsid w:val="00971FBB"/>
    <w:rsid w:val="0097287E"/>
    <w:rsid w:val="00972A32"/>
    <w:rsid w:val="009730B0"/>
    <w:rsid w:val="00974045"/>
    <w:rsid w:val="0097454C"/>
    <w:rsid w:val="00974677"/>
    <w:rsid w:val="00974794"/>
    <w:rsid w:val="009749F3"/>
    <w:rsid w:val="00974FA3"/>
    <w:rsid w:val="00975E6F"/>
    <w:rsid w:val="00980067"/>
    <w:rsid w:val="00981B7A"/>
    <w:rsid w:val="009825D4"/>
    <w:rsid w:val="00982B90"/>
    <w:rsid w:val="00983665"/>
    <w:rsid w:val="00983D2E"/>
    <w:rsid w:val="00985894"/>
    <w:rsid w:val="00986695"/>
    <w:rsid w:val="00987F4F"/>
    <w:rsid w:val="009902A4"/>
    <w:rsid w:val="00990A84"/>
    <w:rsid w:val="00991380"/>
    <w:rsid w:val="00992E32"/>
    <w:rsid w:val="00992F7D"/>
    <w:rsid w:val="009930E6"/>
    <w:rsid w:val="009935B7"/>
    <w:rsid w:val="0099570D"/>
    <w:rsid w:val="00997584"/>
    <w:rsid w:val="00997F4A"/>
    <w:rsid w:val="009A1557"/>
    <w:rsid w:val="009A184B"/>
    <w:rsid w:val="009A1B18"/>
    <w:rsid w:val="009A1CFA"/>
    <w:rsid w:val="009A265A"/>
    <w:rsid w:val="009A2C02"/>
    <w:rsid w:val="009A5309"/>
    <w:rsid w:val="009A5C52"/>
    <w:rsid w:val="009A5CEE"/>
    <w:rsid w:val="009A676C"/>
    <w:rsid w:val="009A6D0B"/>
    <w:rsid w:val="009A722D"/>
    <w:rsid w:val="009A7356"/>
    <w:rsid w:val="009B0E5F"/>
    <w:rsid w:val="009B2BFE"/>
    <w:rsid w:val="009B3419"/>
    <w:rsid w:val="009B350B"/>
    <w:rsid w:val="009B3D69"/>
    <w:rsid w:val="009B5128"/>
    <w:rsid w:val="009B6FA1"/>
    <w:rsid w:val="009C2D81"/>
    <w:rsid w:val="009C3424"/>
    <w:rsid w:val="009C387A"/>
    <w:rsid w:val="009C3C1E"/>
    <w:rsid w:val="009C3F6D"/>
    <w:rsid w:val="009C4FD9"/>
    <w:rsid w:val="009C5FA0"/>
    <w:rsid w:val="009C6331"/>
    <w:rsid w:val="009D0574"/>
    <w:rsid w:val="009D119A"/>
    <w:rsid w:val="009D3199"/>
    <w:rsid w:val="009D4386"/>
    <w:rsid w:val="009D63F9"/>
    <w:rsid w:val="009D69DE"/>
    <w:rsid w:val="009D7893"/>
    <w:rsid w:val="009E0D45"/>
    <w:rsid w:val="009E15D3"/>
    <w:rsid w:val="009E1821"/>
    <w:rsid w:val="009E199D"/>
    <w:rsid w:val="009E27AB"/>
    <w:rsid w:val="009E2A13"/>
    <w:rsid w:val="009E40F2"/>
    <w:rsid w:val="009E4CC0"/>
    <w:rsid w:val="009E5207"/>
    <w:rsid w:val="009E6BC6"/>
    <w:rsid w:val="009E6DC2"/>
    <w:rsid w:val="009E7377"/>
    <w:rsid w:val="009E79AF"/>
    <w:rsid w:val="009F458D"/>
    <w:rsid w:val="009F5C3D"/>
    <w:rsid w:val="009F6450"/>
    <w:rsid w:val="009F64E2"/>
    <w:rsid w:val="00A007DD"/>
    <w:rsid w:val="00A0193D"/>
    <w:rsid w:val="00A01D03"/>
    <w:rsid w:val="00A03496"/>
    <w:rsid w:val="00A04090"/>
    <w:rsid w:val="00A0622B"/>
    <w:rsid w:val="00A06BFC"/>
    <w:rsid w:val="00A07ACA"/>
    <w:rsid w:val="00A10593"/>
    <w:rsid w:val="00A10749"/>
    <w:rsid w:val="00A10D9C"/>
    <w:rsid w:val="00A11DA6"/>
    <w:rsid w:val="00A12C33"/>
    <w:rsid w:val="00A142CE"/>
    <w:rsid w:val="00A1511C"/>
    <w:rsid w:val="00A16333"/>
    <w:rsid w:val="00A16A4C"/>
    <w:rsid w:val="00A20DB9"/>
    <w:rsid w:val="00A21B43"/>
    <w:rsid w:val="00A21FB9"/>
    <w:rsid w:val="00A22E52"/>
    <w:rsid w:val="00A243EE"/>
    <w:rsid w:val="00A26487"/>
    <w:rsid w:val="00A2699F"/>
    <w:rsid w:val="00A26A1E"/>
    <w:rsid w:val="00A26DE2"/>
    <w:rsid w:val="00A2785C"/>
    <w:rsid w:val="00A30656"/>
    <w:rsid w:val="00A3088A"/>
    <w:rsid w:val="00A3180A"/>
    <w:rsid w:val="00A318A1"/>
    <w:rsid w:val="00A31AC6"/>
    <w:rsid w:val="00A32DC4"/>
    <w:rsid w:val="00A33D68"/>
    <w:rsid w:val="00A34915"/>
    <w:rsid w:val="00A36038"/>
    <w:rsid w:val="00A36EF0"/>
    <w:rsid w:val="00A376FA"/>
    <w:rsid w:val="00A402CF"/>
    <w:rsid w:val="00A40FC0"/>
    <w:rsid w:val="00A413AC"/>
    <w:rsid w:val="00A42CF5"/>
    <w:rsid w:val="00A4419F"/>
    <w:rsid w:val="00A4422C"/>
    <w:rsid w:val="00A44325"/>
    <w:rsid w:val="00A44685"/>
    <w:rsid w:val="00A45996"/>
    <w:rsid w:val="00A46333"/>
    <w:rsid w:val="00A46782"/>
    <w:rsid w:val="00A46784"/>
    <w:rsid w:val="00A47E70"/>
    <w:rsid w:val="00A507A1"/>
    <w:rsid w:val="00A544DE"/>
    <w:rsid w:val="00A55128"/>
    <w:rsid w:val="00A55835"/>
    <w:rsid w:val="00A55B57"/>
    <w:rsid w:val="00A56B85"/>
    <w:rsid w:val="00A570EF"/>
    <w:rsid w:val="00A61D78"/>
    <w:rsid w:val="00A62B37"/>
    <w:rsid w:val="00A62FA4"/>
    <w:rsid w:val="00A632EB"/>
    <w:rsid w:val="00A638C7"/>
    <w:rsid w:val="00A63C72"/>
    <w:rsid w:val="00A64F6B"/>
    <w:rsid w:val="00A65C49"/>
    <w:rsid w:val="00A671CE"/>
    <w:rsid w:val="00A674AD"/>
    <w:rsid w:val="00A677DD"/>
    <w:rsid w:val="00A704F2"/>
    <w:rsid w:val="00A71FE2"/>
    <w:rsid w:val="00A7250A"/>
    <w:rsid w:val="00A725DB"/>
    <w:rsid w:val="00A72DE1"/>
    <w:rsid w:val="00A730E8"/>
    <w:rsid w:val="00A73BFE"/>
    <w:rsid w:val="00A740DE"/>
    <w:rsid w:val="00A7613D"/>
    <w:rsid w:val="00A766B8"/>
    <w:rsid w:val="00A76980"/>
    <w:rsid w:val="00A77031"/>
    <w:rsid w:val="00A81C95"/>
    <w:rsid w:val="00A8205B"/>
    <w:rsid w:val="00A8255B"/>
    <w:rsid w:val="00A82733"/>
    <w:rsid w:val="00A83254"/>
    <w:rsid w:val="00A83501"/>
    <w:rsid w:val="00A83A38"/>
    <w:rsid w:val="00A83E7D"/>
    <w:rsid w:val="00A83ED4"/>
    <w:rsid w:val="00A863EE"/>
    <w:rsid w:val="00A879FD"/>
    <w:rsid w:val="00A928E5"/>
    <w:rsid w:val="00A92C60"/>
    <w:rsid w:val="00A934D0"/>
    <w:rsid w:val="00A94392"/>
    <w:rsid w:val="00A94FB7"/>
    <w:rsid w:val="00A95754"/>
    <w:rsid w:val="00A9721B"/>
    <w:rsid w:val="00AA3A7F"/>
    <w:rsid w:val="00AA4BF3"/>
    <w:rsid w:val="00AA4C5E"/>
    <w:rsid w:val="00AA73DA"/>
    <w:rsid w:val="00AA7829"/>
    <w:rsid w:val="00AA7DFA"/>
    <w:rsid w:val="00AB057B"/>
    <w:rsid w:val="00AB2179"/>
    <w:rsid w:val="00AB22D3"/>
    <w:rsid w:val="00AB3629"/>
    <w:rsid w:val="00AB37CE"/>
    <w:rsid w:val="00AB4399"/>
    <w:rsid w:val="00AB4891"/>
    <w:rsid w:val="00AB502E"/>
    <w:rsid w:val="00AB62D5"/>
    <w:rsid w:val="00AC1022"/>
    <w:rsid w:val="00AC2B26"/>
    <w:rsid w:val="00AC3187"/>
    <w:rsid w:val="00AC32AC"/>
    <w:rsid w:val="00AC336E"/>
    <w:rsid w:val="00AC4067"/>
    <w:rsid w:val="00AC4717"/>
    <w:rsid w:val="00AC5269"/>
    <w:rsid w:val="00AC5517"/>
    <w:rsid w:val="00AC5920"/>
    <w:rsid w:val="00AC6137"/>
    <w:rsid w:val="00AC6156"/>
    <w:rsid w:val="00AC6556"/>
    <w:rsid w:val="00AD0483"/>
    <w:rsid w:val="00AD0624"/>
    <w:rsid w:val="00AD1841"/>
    <w:rsid w:val="00AD3B6A"/>
    <w:rsid w:val="00AD482F"/>
    <w:rsid w:val="00AD530D"/>
    <w:rsid w:val="00AE0052"/>
    <w:rsid w:val="00AE1F80"/>
    <w:rsid w:val="00AE20D4"/>
    <w:rsid w:val="00AE2CC3"/>
    <w:rsid w:val="00AE2DDF"/>
    <w:rsid w:val="00AE30CF"/>
    <w:rsid w:val="00AE4202"/>
    <w:rsid w:val="00AE478D"/>
    <w:rsid w:val="00AE5525"/>
    <w:rsid w:val="00AE5600"/>
    <w:rsid w:val="00AE6F49"/>
    <w:rsid w:val="00AE7EA7"/>
    <w:rsid w:val="00AF0536"/>
    <w:rsid w:val="00AF07E1"/>
    <w:rsid w:val="00AF1890"/>
    <w:rsid w:val="00AF2BE1"/>
    <w:rsid w:val="00AF3473"/>
    <w:rsid w:val="00AF45CD"/>
    <w:rsid w:val="00AF4A07"/>
    <w:rsid w:val="00AF4E18"/>
    <w:rsid w:val="00AF7515"/>
    <w:rsid w:val="00B00341"/>
    <w:rsid w:val="00B010E3"/>
    <w:rsid w:val="00B02DCF"/>
    <w:rsid w:val="00B039EC"/>
    <w:rsid w:val="00B03B58"/>
    <w:rsid w:val="00B05534"/>
    <w:rsid w:val="00B075E1"/>
    <w:rsid w:val="00B07641"/>
    <w:rsid w:val="00B07ABB"/>
    <w:rsid w:val="00B07FFB"/>
    <w:rsid w:val="00B12191"/>
    <w:rsid w:val="00B12D57"/>
    <w:rsid w:val="00B13226"/>
    <w:rsid w:val="00B134CB"/>
    <w:rsid w:val="00B13CBD"/>
    <w:rsid w:val="00B140DB"/>
    <w:rsid w:val="00B15481"/>
    <w:rsid w:val="00B15ABB"/>
    <w:rsid w:val="00B15B9E"/>
    <w:rsid w:val="00B16A7A"/>
    <w:rsid w:val="00B16FD7"/>
    <w:rsid w:val="00B174FB"/>
    <w:rsid w:val="00B178FE"/>
    <w:rsid w:val="00B17FD1"/>
    <w:rsid w:val="00B21279"/>
    <w:rsid w:val="00B212B3"/>
    <w:rsid w:val="00B21BC0"/>
    <w:rsid w:val="00B21E5B"/>
    <w:rsid w:val="00B2333A"/>
    <w:rsid w:val="00B235F4"/>
    <w:rsid w:val="00B23C6C"/>
    <w:rsid w:val="00B24DAC"/>
    <w:rsid w:val="00B26195"/>
    <w:rsid w:val="00B27A5D"/>
    <w:rsid w:val="00B27C79"/>
    <w:rsid w:val="00B27F94"/>
    <w:rsid w:val="00B30D09"/>
    <w:rsid w:val="00B30E41"/>
    <w:rsid w:val="00B318D7"/>
    <w:rsid w:val="00B31A56"/>
    <w:rsid w:val="00B31CFE"/>
    <w:rsid w:val="00B31E2B"/>
    <w:rsid w:val="00B31ED2"/>
    <w:rsid w:val="00B3360C"/>
    <w:rsid w:val="00B347E8"/>
    <w:rsid w:val="00B34A43"/>
    <w:rsid w:val="00B34FB1"/>
    <w:rsid w:val="00B35900"/>
    <w:rsid w:val="00B35CC0"/>
    <w:rsid w:val="00B41217"/>
    <w:rsid w:val="00B42D10"/>
    <w:rsid w:val="00B44656"/>
    <w:rsid w:val="00B44DA3"/>
    <w:rsid w:val="00B45A16"/>
    <w:rsid w:val="00B479E7"/>
    <w:rsid w:val="00B47C0A"/>
    <w:rsid w:val="00B50132"/>
    <w:rsid w:val="00B50621"/>
    <w:rsid w:val="00B50707"/>
    <w:rsid w:val="00B52B4D"/>
    <w:rsid w:val="00B52D23"/>
    <w:rsid w:val="00B53817"/>
    <w:rsid w:val="00B53942"/>
    <w:rsid w:val="00B55129"/>
    <w:rsid w:val="00B557B2"/>
    <w:rsid w:val="00B55E48"/>
    <w:rsid w:val="00B56ECF"/>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EEF"/>
    <w:rsid w:val="00B73C36"/>
    <w:rsid w:val="00B7529A"/>
    <w:rsid w:val="00B75A4C"/>
    <w:rsid w:val="00B7682D"/>
    <w:rsid w:val="00B76856"/>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6D4"/>
    <w:rsid w:val="00B91D1C"/>
    <w:rsid w:val="00B93D8B"/>
    <w:rsid w:val="00B94FFC"/>
    <w:rsid w:val="00B9532A"/>
    <w:rsid w:val="00B97C5D"/>
    <w:rsid w:val="00BA030D"/>
    <w:rsid w:val="00BA06E3"/>
    <w:rsid w:val="00BA0C8C"/>
    <w:rsid w:val="00BA109A"/>
    <w:rsid w:val="00BA1642"/>
    <w:rsid w:val="00BA28CF"/>
    <w:rsid w:val="00BA331C"/>
    <w:rsid w:val="00BA3349"/>
    <w:rsid w:val="00BA3364"/>
    <w:rsid w:val="00BA350E"/>
    <w:rsid w:val="00BA3CA4"/>
    <w:rsid w:val="00BA4A56"/>
    <w:rsid w:val="00BA4FB5"/>
    <w:rsid w:val="00BA6D64"/>
    <w:rsid w:val="00BA723B"/>
    <w:rsid w:val="00BA73FF"/>
    <w:rsid w:val="00BB03C5"/>
    <w:rsid w:val="00BB066A"/>
    <w:rsid w:val="00BB399B"/>
    <w:rsid w:val="00BB4CBA"/>
    <w:rsid w:val="00BB5613"/>
    <w:rsid w:val="00BB6430"/>
    <w:rsid w:val="00BB6A53"/>
    <w:rsid w:val="00BB6B31"/>
    <w:rsid w:val="00BC0A58"/>
    <w:rsid w:val="00BC15A4"/>
    <w:rsid w:val="00BC35B5"/>
    <w:rsid w:val="00BC39FF"/>
    <w:rsid w:val="00BC3F97"/>
    <w:rsid w:val="00BC4269"/>
    <w:rsid w:val="00BC5AC5"/>
    <w:rsid w:val="00BC6948"/>
    <w:rsid w:val="00BC6C4E"/>
    <w:rsid w:val="00BC7455"/>
    <w:rsid w:val="00BC7F75"/>
    <w:rsid w:val="00BD0E0B"/>
    <w:rsid w:val="00BD279D"/>
    <w:rsid w:val="00BD36FB"/>
    <w:rsid w:val="00BD3D97"/>
    <w:rsid w:val="00BD5AE8"/>
    <w:rsid w:val="00BD5D47"/>
    <w:rsid w:val="00BD5E3C"/>
    <w:rsid w:val="00BD64F8"/>
    <w:rsid w:val="00BE0FD3"/>
    <w:rsid w:val="00BE1993"/>
    <w:rsid w:val="00BE2DAB"/>
    <w:rsid w:val="00BE3BE3"/>
    <w:rsid w:val="00BE4185"/>
    <w:rsid w:val="00BE50CD"/>
    <w:rsid w:val="00BE52BB"/>
    <w:rsid w:val="00BE5E26"/>
    <w:rsid w:val="00BE62F2"/>
    <w:rsid w:val="00BE698C"/>
    <w:rsid w:val="00BE77A9"/>
    <w:rsid w:val="00BE789D"/>
    <w:rsid w:val="00BE7DF6"/>
    <w:rsid w:val="00BF1129"/>
    <w:rsid w:val="00BF21C3"/>
    <w:rsid w:val="00BF2782"/>
    <w:rsid w:val="00BF27E1"/>
    <w:rsid w:val="00BF3830"/>
    <w:rsid w:val="00BF394D"/>
    <w:rsid w:val="00BF3A83"/>
    <w:rsid w:val="00BF6172"/>
    <w:rsid w:val="00BF639F"/>
    <w:rsid w:val="00C0058C"/>
    <w:rsid w:val="00C04139"/>
    <w:rsid w:val="00C042AF"/>
    <w:rsid w:val="00C06126"/>
    <w:rsid w:val="00C06C41"/>
    <w:rsid w:val="00C06DDB"/>
    <w:rsid w:val="00C075D7"/>
    <w:rsid w:val="00C11121"/>
    <w:rsid w:val="00C11712"/>
    <w:rsid w:val="00C118AF"/>
    <w:rsid w:val="00C133E3"/>
    <w:rsid w:val="00C138D6"/>
    <w:rsid w:val="00C1424A"/>
    <w:rsid w:val="00C168C6"/>
    <w:rsid w:val="00C16A56"/>
    <w:rsid w:val="00C17D9F"/>
    <w:rsid w:val="00C20182"/>
    <w:rsid w:val="00C20F4E"/>
    <w:rsid w:val="00C21F01"/>
    <w:rsid w:val="00C2412B"/>
    <w:rsid w:val="00C2448E"/>
    <w:rsid w:val="00C24E1D"/>
    <w:rsid w:val="00C30F44"/>
    <w:rsid w:val="00C322F9"/>
    <w:rsid w:val="00C3256F"/>
    <w:rsid w:val="00C33600"/>
    <w:rsid w:val="00C344DF"/>
    <w:rsid w:val="00C355F0"/>
    <w:rsid w:val="00C356AB"/>
    <w:rsid w:val="00C367B1"/>
    <w:rsid w:val="00C37A62"/>
    <w:rsid w:val="00C402BB"/>
    <w:rsid w:val="00C42D5A"/>
    <w:rsid w:val="00C42D6F"/>
    <w:rsid w:val="00C4539D"/>
    <w:rsid w:val="00C45879"/>
    <w:rsid w:val="00C458AC"/>
    <w:rsid w:val="00C459BE"/>
    <w:rsid w:val="00C460F5"/>
    <w:rsid w:val="00C463D3"/>
    <w:rsid w:val="00C4727C"/>
    <w:rsid w:val="00C4791F"/>
    <w:rsid w:val="00C47F2E"/>
    <w:rsid w:val="00C52735"/>
    <w:rsid w:val="00C52CA4"/>
    <w:rsid w:val="00C5442E"/>
    <w:rsid w:val="00C54BEB"/>
    <w:rsid w:val="00C5571D"/>
    <w:rsid w:val="00C55D04"/>
    <w:rsid w:val="00C56631"/>
    <w:rsid w:val="00C57878"/>
    <w:rsid w:val="00C60199"/>
    <w:rsid w:val="00C604D9"/>
    <w:rsid w:val="00C6096D"/>
    <w:rsid w:val="00C613E6"/>
    <w:rsid w:val="00C61C41"/>
    <w:rsid w:val="00C6290F"/>
    <w:rsid w:val="00C6350A"/>
    <w:rsid w:val="00C63735"/>
    <w:rsid w:val="00C63C1A"/>
    <w:rsid w:val="00C64816"/>
    <w:rsid w:val="00C65B56"/>
    <w:rsid w:val="00C66174"/>
    <w:rsid w:val="00C66422"/>
    <w:rsid w:val="00C673DC"/>
    <w:rsid w:val="00C67B92"/>
    <w:rsid w:val="00C716CA"/>
    <w:rsid w:val="00C71E2F"/>
    <w:rsid w:val="00C73295"/>
    <w:rsid w:val="00C73C42"/>
    <w:rsid w:val="00C74835"/>
    <w:rsid w:val="00C7493C"/>
    <w:rsid w:val="00C774D3"/>
    <w:rsid w:val="00C80227"/>
    <w:rsid w:val="00C8027C"/>
    <w:rsid w:val="00C806E9"/>
    <w:rsid w:val="00C809B9"/>
    <w:rsid w:val="00C817F7"/>
    <w:rsid w:val="00C83013"/>
    <w:rsid w:val="00C842DF"/>
    <w:rsid w:val="00C84DC4"/>
    <w:rsid w:val="00C84E9C"/>
    <w:rsid w:val="00C854A8"/>
    <w:rsid w:val="00C85755"/>
    <w:rsid w:val="00C85D50"/>
    <w:rsid w:val="00C860CA"/>
    <w:rsid w:val="00C86957"/>
    <w:rsid w:val="00C9170E"/>
    <w:rsid w:val="00C91899"/>
    <w:rsid w:val="00C92086"/>
    <w:rsid w:val="00C92420"/>
    <w:rsid w:val="00C93080"/>
    <w:rsid w:val="00C950C5"/>
    <w:rsid w:val="00C95985"/>
    <w:rsid w:val="00C95DEA"/>
    <w:rsid w:val="00C95E7A"/>
    <w:rsid w:val="00CA0682"/>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1E14"/>
    <w:rsid w:val="00CB33D7"/>
    <w:rsid w:val="00CB3714"/>
    <w:rsid w:val="00CB4DE2"/>
    <w:rsid w:val="00CB5C55"/>
    <w:rsid w:val="00CC004A"/>
    <w:rsid w:val="00CC1845"/>
    <w:rsid w:val="00CC1B29"/>
    <w:rsid w:val="00CC227E"/>
    <w:rsid w:val="00CC475F"/>
    <w:rsid w:val="00CC498E"/>
    <w:rsid w:val="00CC6082"/>
    <w:rsid w:val="00CC6288"/>
    <w:rsid w:val="00CC6378"/>
    <w:rsid w:val="00CC6C6E"/>
    <w:rsid w:val="00CC701B"/>
    <w:rsid w:val="00CC76E6"/>
    <w:rsid w:val="00CC7FD1"/>
    <w:rsid w:val="00CC7FFB"/>
    <w:rsid w:val="00CD01E6"/>
    <w:rsid w:val="00CD05C8"/>
    <w:rsid w:val="00CD06F2"/>
    <w:rsid w:val="00CD1A92"/>
    <w:rsid w:val="00CD1F55"/>
    <w:rsid w:val="00CD2511"/>
    <w:rsid w:val="00CD5862"/>
    <w:rsid w:val="00CD69CD"/>
    <w:rsid w:val="00CD6ED2"/>
    <w:rsid w:val="00CD73EF"/>
    <w:rsid w:val="00CE0A18"/>
    <w:rsid w:val="00CE1A22"/>
    <w:rsid w:val="00CE1F32"/>
    <w:rsid w:val="00CE2781"/>
    <w:rsid w:val="00CE33DA"/>
    <w:rsid w:val="00CE3BE7"/>
    <w:rsid w:val="00CE3C10"/>
    <w:rsid w:val="00CE4CFE"/>
    <w:rsid w:val="00CE5D62"/>
    <w:rsid w:val="00CE6634"/>
    <w:rsid w:val="00CE6EDE"/>
    <w:rsid w:val="00CF0BD5"/>
    <w:rsid w:val="00CF1D31"/>
    <w:rsid w:val="00CF5168"/>
    <w:rsid w:val="00CF62BB"/>
    <w:rsid w:val="00CF7357"/>
    <w:rsid w:val="00CF7811"/>
    <w:rsid w:val="00D002DC"/>
    <w:rsid w:val="00D0140B"/>
    <w:rsid w:val="00D020D2"/>
    <w:rsid w:val="00D0291E"/>
    <w:rsid w:val="00D0307A"/>
    <w:rsid w:val="00D03FFE"/>
    <w:rsid w:val="00D045B1"/>
    <w:rsid w:val="00D051A3"/>
    <w:rsid w:val="00D0592B"/>
    <w:rsid w:val="00D12684"/>
    <w:rsid w:val="00D13AF7"/>
    <w:rsid w:val="00D14BDC"/>
    <w:rsid w:val="00D1547D"/>
    <w:rsid w:val="00D1581E"/>
    <w:rsid w:val="00D15834"/>
    <w:rsid w:val="00D15D1D"/>
    <w:rsid w:val="00D17D34"/>
    <w:rsid w:val="00D20988"/>
    <w:rsid w:val="00D20A32"/>
    <w:rsid w:val="00D233A3"/>
    <w:rsid w:val="00D2389D"/>
    <w:rsid w:val="00D24B5B"/>
    <w:rsid w:val="00D25335"/>
    <w:rsid w:val="00D25C6F"/>
    <w:rsid w:val="00D2660D"/>
    <w:rsid w:val="00D317C2"/>
    <w:rsid w:val="00D31BE6"/>
    <w:rsid w:val="00D32033"/>
    <w:rsid w:val="00D322C4"/>
    <w:rsid w:val="00D32B0C"/>
    <w:rsid w:val="00D34B96"/>
    <w:rsid w:val="00D377E1"/>
    <w:rsid w:val="00D40C3D"/>
    <w:rsid w:val="00D413F6"/>
    <w:rsid w:val="00D41622"/>
    <w:rsid w:val="00D4243A"/>
    <w:rsid w:val="00D44952"/>
    <w:rsid w:val="00D46944"/>
    <w:rsid w:val="00D47B5E"/>
    <w:rsid w:val="00D500FB"/>
    <w:rsid w:val="00D504D2"/>
    <w:rsid w:val="00D507C5"/>
    <w:rsid w:val="00D509CF"/>
    <w:rsid w:val="00D51DA3"/>
    <w:rsid w:val="00D51FDE"/>
    <w:rsid w:val="00D5231D"/>
    <w:rsid w:val="00D5234E"/>
    <w:rsid w:val="00D52DEF"/>
    <w:rsid w:val="00D55157"/>
    <w:rsid w:val="00D55F02"/>
    <w:rsid w:val="00D56017"/>
    <w:rsid w:val="00D60117"/>
    <w:rsid w:val="00D61CFF"/>
    <w:rsid w:val="00D61E64"/>
    <w:rsid w:val="00D6360C"/>
    <w:rsid w:val="00D63E08"/>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495E"/>
    <w:rsid w:val="00D86D54"/>
    <w:rsid w:val="00D9074A"/>
    <w:rsid w:val="00D9097D"/>
    <w:rsid w:val="00D938E1"/>
    <w:rsid w:val="00D949C7"/>
    <w:rsid w:val="00D94E69"/>
    <w:rsid w:val="00D952A0"/>
    <w:rsid w:val="00D952E4"/>
    <w:rsid w:val="00D95B22"/>
    <w:rsid w:val="00DA056C"/>
    <w:rsid w:val="00DA16E6"/>
    <w:rsid w:val="00DA32E6"/>
    <w:rsid w:val="00DA32F7"/>
    <w:rsid w:val="00DA3EF5"/>
    <w:rsid w:val="00DA46DC"/>
    <w:rsid w:val="00DA47EA"/>
    <w:rsid w:val="00DA5655"/>
    <w:rsid w:val="00DA6E41"/>
    <w:rsid w:val="00DA7113"/>
    <w:rsid w:val="00DA7B9F"/>
    <w:rsid w:val="00DB2059"/>
    <w:rsid w:val="00DB227D"/>
    <w:rsid w:val="00DB2997"/>
    <w:rsid w:val="00DB6488"/>
    <w:rsid w:val="00DB6C9F"/>
    <w:rsid w:val="00DB6D92"/>
    <w:rsid w:val="00DB6EE7"/>
    <w:rsid w:val="00DB7520"/>
    <w:rsid w:val="00DC0462"/>
    <w:rsid w:val="00DC0A8A"/>
    <w:rsid w:val="00DC0CBC"/>
    <w:rsid w:val="00DC1800"/>
    <w:rsid w:val="00DC1A2A"/>
    <w:rsid w:val="00DC32FA"/>
    <w:rsid w:val="00DC57BD"/>
    <w:rsid w:val="00DC67AC"/>
    <w:rsid w:val="00DC67DD"/>
    <w:rsid w:val="00DC6D5F"/>
    <w:rsid w:val="00DC7503"/>
    <w:rsid w:val="00DC7B6E"/>
    <w:rsid w:val="00DD0B00"/>
    <w:rsid w:val="00DD2D88"/>
    <w:rsid w:val="00DD350D"/>
    <w:rsid w:val="00DD3B19"/>
    <w:rsid w:val="00DD4216"/>
    <w:rsid w:val="00DD4F6E"/>
    <w:rsid w:val="00DD50DD"/>
    <w:rsid w:val="00DD54CF"/>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DF50B0"/>
    <w:rsid w:val="00DF549B"/>
    <w:rsid w:val="00E0095F"/>
    <w:rsid w:val="00E028EE"/>
    <w:rsid w:val="00E038CB"/>
    <w:rsid w:val="00E03A59"/>
    <w:rsid w:val="00E03A6C"/>
    <w:rsid w:val="00E03EB1"/>
    <w:rsid w:val="00E05D2C"/>
    <w:rsid w:val="00E05F1E"/>
    <w:rsid w:val="00E10018"/>
    <w:rsid w:val="00E10F6B"/>
    <w:rsid w:val="00E119DC"/>
    <w:rsid w:val="00E124BC"/>
    <w:rsid w:val="00E12770"/>
    <w:rsid w:val="00E129DE"/>
    <w:rsid w:val="00E12E9B"/>
    <w:rsid w:val="00E12F74"/>
    <w:rsid w:val="00E1318F"/>
    <w:rsid w:val="00E139CA"/>
    <w:rsid w:val="00E15C46"/>
    <w:rsid w:val="00E16BCC"/>
    <w:rsid w:val="00E16F1D"/>
    <w:rsid w:val="00E17366"/>
    <w:rsid w:val="00E17E29"/>
    <w:rsid w:val="00E214EB"/>
    <w:rsid w:val="00E232BC"/>
    <w:rsid w:val="00E234D2"/>
    <w:rsid w:val="00E26C40"/>
    <w:rsid w:val="00E26EF6"/>
    <w:rsid w:val="00E27A25"/>
    <w:rsid w:val="00E30D80"/>
    <w:rsid w:val="00E3131F"/>
    <w:rsid w:val="00E319C5"/>
    <w:rsid w:val="00E31B55"/>
    <w:rsid w:val="00E324CC"/>
    <w:rsid w:val="00E34407"/>
    <w:rsid w:val="00E3467F"/>
    <w:rsid w:val="00E413B8"/>
    <w:rsid w:val="00E41CD1"/>
    <w:rsid w:val="00E42AC9"/>
    <w:rsid w:val="00E4411E"/>
    <w:rsid w:val="00E4440F"/>
    <w:rsid w:val="00E454D5"/>
    <w:rsid w:val="00E45ED4"/>
    <w:rsid w:val="00E46FFF"/>
    <w:rsid w:val="00E47690"/>
    <w:rsid w:val="00E50B1A"/>
    <w:rsid w:val="00E51340"/>
    <w:rsid w:val="00E513E4"/>
    <w:rsid w:val="00E52089"/>
    <w:rsid w:val="00E52205"/>
    <w:rsid w:val="00E54B20"/>
    <w:rsid w:val="00E54D81"/>
    <w:rsid w:val="00E55196"/>
    <w:rsid w:val="00E574B5"/>
    <w:rsid w:val="00E57526"/>
    <w:rsid w:val="00E577B0"/>
    <w:rsid w:val="00E61597"/>
    <w:rsid w:val="00E643A6"/>
    <w:rsid w:val="00E64CD2"/>
    <w:rsid w:val="00E655FF"/>
    <w:rsid w:val="00E65E14"/>
    <w:rsid w:val="00E66729"/>
    <w:rsid w:val="00E66FEF"/>
    <w:rsid w:val="00E673C4"/>
    <w:rsid w:val="00E67D48"/>
    <w:rsid w:val="00E71C79"/>
    <w:rsid w:val="00E725F7"/>
    <w:rsid w:val="00E72D43"/>
    <w:rsid w:val="00E7382B"/>
    <w:rsid w:val="00E73AA2"/>
    <w:rsid w:val="00E7553B"/>
    <w:rsid w:val="00E75864"/>
    <w:rsid w:val="00E76233"/>
    <w:rsid w:val="00E76737"/>
    <w:rsid w:val="00E7773E"/>
    <w:rsid w:val="00E80FB6"/>
    <w:rsid w:val="00E82653"/>
    <w:rsid w:val="00E836AC"/>
    <w:rsid w:val="00E83FF6"/>
    <w:rsid w:val="00E842B5"/>
    <w:rsid w:val="00E84310"/>
    <w:rsid w:val="00E855A7"/>
    <w:rsid w:val="00E85802"/>
    <w:rsid w:val="00E85C54"/>
    <w:rsid w:val="00E86376"/>
    <w:rsid w:val="00E86828"/>
    <w:rsid w:val="00E86925"/>
    <w:rsid w:val="00E87423"/>
    <w:rsid w:val="00E901C9"/>
    <w:rsid w:val="00E91C6C"/>
    <w:rsid w:val="00E922A3"/>
    <w:rsid w:val="00E9276F"/>
    <w:rsid w:val="00E9713D"/>
    <w:rsid w:val="00E973A9"/>
    <w:rsid w:val="00EA1FBE"/>
    <w:rsid w:val="00EA251F"/>
    <w:rsid w:val="00EA260A"/>
    <w:rsid w:val="00EA3B18"/>
    <w:rsid w:val="00EA48FF"/>
    <w:rsid w:val="00EA5577"/>
    <w:rsid w:val="00EA6D06"/>
    <w:rsid w:val="00EB08DC"/>
    <w:rsid w:val="00EB1B17"/>
    <w:rsid w:val="00EB3BD5"/>
    <w:rsid w:val="00EB4128"/>
    <w:rsid w:val="00EB4CC3"/>
    <w:rsid w:val="00EB52E7"/>
    <w:rsid w:val="00EB5621"/>
    <w:rsid w:val="00EB63D8"/>
    <w:rsid w:val="00EB6FF9"/>
    <w:rsid w:val="00EB7007"/>
    <w:rsid w:val="00EB7FA8"/>
    <w:rsid w:val="00EC0520"/>
    <w:rsid w:val="00EC0632"/>
    <w:rsid w:val="00EC3290"/>
    <w:rsid w:val="00EC33FA"/>
    <w:rsid w:val="00EC355E"/>
    <w:rsid w:val="00EC586C"/>
    <w:rsid w:val="00EC7C1B"/>
    <w:rsid w:val="00ED00C2"/>
    <w:rsid w:val="00ED0A68"/>
    <w:rsid w:val="00ED17A9"/>
    <w:rsid w:val="00ED4ABF"/>
    <w:rsid w:val="00ED58D4"/>
    <w:rsid w:val="00ED5D30"/>
    <w:rsid w:val="00EE1449"/>
    <w:rsid w:val="00EE21FF"/>
    <w:rsid w:val="00EE39D6"/>
    <w:rsid w:val="00EE41D1"/>
    <w:rsid w:val="00EE4A13"/>
    <w:rsid w:val="00EE4A49"/>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FDB"/>
    <w:rsid w:val="00F0378D"/>
    <w:rsid w:val="00F04AE3"/>
    <w:rsid w:val="00F057CF"/>
    <w:rsid w:val="00F06D68"/>
    <w:rsid w:val="00F076F4"/>
    <w:rsid w:val="00F10B16"/>
    <w:rsid w:val="00F12DAD"/>
    <w:rsid w:val="00F136F7"/>
    <w:rsid w:val="00F1450A"/>
    <w:rsid w:val="00F15201"/>
    <w:rsid w:val="00F15345"/>
    <w:rsid w:val="00F17D99"/>
    <w:rsid w:val="00F207D5"/>
    <w:rsid w:val="00F20A47"/>
    <w:rsid w:val="00F20F18"/>
    <w:rsid w:val="00F215A3"/>
    <w:rsid w:val="00F21C86"/>
    <w:rsid w:val="00F2212F"/>
    <w:rsid w:val="00F236D4"/>
    <w:rsid w:val="00F23AF6"/>
    <w:rsid w:val="00F2401C"/>
    <w:rsid w:val="00F2536F"/>
    <w:rsid w:val="00F254D3"/>
    <w:rsid w:val="00F25C3B"/>
    <w:rsid w:val="00F25D98"/>
    <w:rsid w:val="00F261D9"/>
    <w:rsid w:val="00F300AE"/>
    <w:rsid w:val="00F300FB"/>
    <w:rsid w:val="00F30963"/>
    <w:rsid w:val="00F30AC8"/>
    <w:rsid w:val="00F31C90"/>
    <w:rsid w:val="00F32A25"/>
    <w:rsid w:val="00F32E81"/>
    <w:rsid w:val="00F340F4"/>
    <w:rsid w:val="00F34406"/>
    <w:rsid w:val="00F34408"/>
    <w:rsid w:val="00F414C4"/>
    <w:rsid w:val="00F415A4"/>
    <w:rsid w:val="00F42BE7"/>
    <w:rsid w:val="00F438DD"/>
    <w:rsid w:val="00F44146"/>
    <w:rsid w:val="00F44A58"/>
    <w:rsid w:val="00F45052"/>
    <w:rsid w:val="00F458C5"/>
    <w:rsid w:val="00F475D5"/>
    <w:rsid w:val="00F476A5"/>
    <w:rsid w:val="00F47A89"/>
    <w:rsid w:val="00F50F2A"/>
    <w:rsid w:val="00F5152C"/>
    <w:rsid w:val="00F523AF"/>
    <w:rsid w:val="00F53D67"/>
    <w:rsid w:val="00F53EBD"/>
    <w:rsid w:val="00F5423E"/>
    <w:rsid w:val="00F54EA6"/>
    <w:rsid w:val="00F550A2"/>
    <w:rsid w:val="00F563FF"/>
    <w:rsid w:val="00F56E19"/>
    <w:rsid w:val="00F57005"/>
    <w:rsid w:val="00F57726"/>
    <w:rsid w:val="00F600FF"/>
    <w:rsid w:val="00F601F4"/>
    <w:rsid w:val="00F60A08"/>
    <w:rsid w:val="00F61B0C"/>
    <w:rsid w:val="00F628C6"/>
    <w:rsid w:val="00F62D0D"/>
    <w:rsid w:val="00F63694"/>
    <w:rsid w:val="00F63C33"/>
    <w:rsid w:val="00F63F27"/>
    <w:rsid w:val="00F646A7"/>
    <w:rsid w:val="00F64EDF"/>
    <w:rsid w:val="00F67AA6"/>
    <w:rsid w:val="00F7148A"/>
    <w:rsid w:val="00F717A0"/>
    <w:rsid w:val="00F71FAE"/>
    <w:rsid w:val="00F72697"/>
    <w:rsid w:val="00F72C48"/>
    <w:rsid w:val="00F73D02"/>
    <w:rsid w:val="00F74BFB"/>
    <w:rsid w:val="00F75BCF"/>
    <w:rsid w:val="00F75C77"/>
    <w:rsid w:val="00F767E5"/>
    <w:rsid w:val="00F76A6F"/>
    <w:rsid w:val="00F7725B"/>
    <w:rsid w:val="00F77268"/>
    <w:rsid w:val="00F80276"/>
    <w:rsid w:val="00F80D8E"/>
    <w:rsid w:val="00F80DBD"/>
    <w:rsid w:val="00F81236"/>
    <w:rsid w:val="00F824CF"/>
    <w:rsid w:val="00F830A5"/>
    <w:rsid w:val="00F834DD"/>
    <w:rsid w:val="00F83F88"/>
    <w:rsid w:val="00F84699"/>
    <w:rsid w:val="00F84C75"/>
    <w:rsid w:val="00F858AF"/>
    <w:rsid w:val="00F86253"/>
    <w:rsid w:val="00F868E5"/>
    <w:rsid w:val="00F9063E"/>
    <w:rsid w:val="00F908FD"/>
    <w:rsid w:val="00F90AD2"/>
    <w:rsid w:val="00F91093"/>
    <w:rsid w:val="00F91E87"/>
    <w:rsid w:val="00F922C3"/>
    <w:rsid w:val="00F925F5"/>
    <w:rsid w:val="00F930E2"/>
    <w:rsid w:val="00F942F0"/>
    <w:rsid w:val="00F9512C"/>
    <w:rsid w:val="00F963F3"/>
    <w:rsid w:val="00F96A52"/>
    <w:rsid w:val="00F96B99"/>
    <w:rsid w:val="00F97194"/>
    <w:rsid w:val="00FA1699"/>
    <w:rsid w:val="00FA1DAA"/>
    <w:rsid w:val="00FA1EB4"/>
    <w:rsid w:val="00FA1FA1"/>
    <w:rsid w:val="00FA2354"/>
    <w:rsid w:val="00FA24AC"/>
    <w:rsid w:val="00FA2606"/>
    <w:rsid w:val="00FA2A33"/>
    <w:rsid w:val="00FA4654"/>
    <w:rsid w:val="00FA519C"/>
    <w:rsid w:val="00FA5242"/>
    <w:rsid w:val="00FA62B3"/>
    <w:rsid w:val="00FA65A1"/>
    <w:rsid w:val="00FA69E5"/>
    <w:rsid w:val="00FA77D4"/>
    <w:rsid w:val="00FA7DC8"/>
    <w:rsid w:val="00FB06DD"/>
    <w:rsid w:val="00FB075F"/>
    <w:rsid w:val="00FB0EC4"/>
    <w:rsid w:val="00FB11EF"/>
    <w:rsid w:val="00FB1BB8"/>
    <w:rsid w:val="00FB2853"/>
    <w:rsid w:val="00FB3D40"/>
    <w:rsid w:val="00FB3FF4"/>
    <w:rsid w:val="00FB4140"/>
    <w:rsid w:val="00FB4802"/>
    <w:rsid w:val="00FB4E84"/>
    <w:rsid w:val="00FB575F"/>
    <w:rsid w:val="00FB7F73"/>
    <w:rsid w:val="00FC09B6"/>
    <w:rsid w:val="00FC0E8D"/>
    <w:rsid w:val="00FC283B"/>
    <w:rsid w:val="00FC29D1"/>
    <w:rsid w:val="00FC4128"/>
    <w:rsid w:val="00FC46CF"/>
    <w:rsid w:val="00FC4959"/>
    <w:rsid w:val="00FC4E0F"/>
    <w:rsid w:val="00FC4EA1"/>
    <w:rsid w:val="00FC4F55"/>
    <w:rsid w:val="00FC7619"/>
    <w:rsid w:val="00FC7ABA"/>
    <w:rsid w:val="00FD09D6"/>
    <w:rsid w:val="00FD2A85"/>
    <w:rsid w:val="00FD2EF1"/>
    <w:rsid w:val="00FD41F9"/>
    <w:rsid w:val="00FD46A2"/>
    <w:rsid w:val="00FD577A"/>
    <w:rsid w:val="00FE174A"/>
    <w:rsid w:val="00FE197B"/>
    <w:rsid w:val="00FE4872"/>
    <w:rsid w:val="00FE49B8"/>
    <w:rsid w:val="00FE536E"/>
    <w:rsid w:val="00FE55FE"/>
    <w:rsid w:val="00FE7A7B"/>
    <w:rsid w:val="00FE7D17"/>
    <w:rsid w:val="00FE7D91"/>
    <w:rsid w:val="00FF1068"/>
    <w:rsid w:val="00FF11A3"/>
    <w:rsid w:val="00FF15B8"/>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B329"/>
  <w15:chartTrackingRefBased/>
  <w15:docId w15:val="{3DEC77D1-FEB1-4972-8DF0-9B0868F3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049C"/>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aliases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 (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 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 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TACChar">
    <w:name w:val="TAC Char"/>
    <w:link w:val="TAC"/>
    <w:qFormat/>
    <w:rsid w:val="00200190"/>
    <w:rPr>
      <w:rFonts w:ascii="Arial" w:eastAsia="宋体" w:hAnsi="Arial"/>
      <w:sz w:val="18"/>
      <w:lang w:val="en-GB" w:eastAsia="en-US"/>
    </w:rPr>
  </w:style>
  <w:style w:type="character" w:customStyle="1" w:styleId="TAHCar">
    <w:name w:val="TAH Car"/>
    <w:link w:val="TAH"/>
    <w:qFormat/>
    <w:rsid w:val="00200190"/>
    <w:rPr>
      <w:rFonts w:ascii="Arial" w:eastAsia="宋体" w:hAnsi="Arial"/>
      <w:b/>
      <w:sz w:val="18"/>
      <w:lang w:val="en-GB" w:eastAsia="en-US"/>
    </w:rPr>
  </w:style>
  <w:style w:type="character" w:customStyle="1" w:styleId="TANChar">
    <w:name w:val="TAN Char"/>
    <w:basedOn w:val="TALCar"/>
    <w:link w:val="TAN"/>
    <w:rsid w:val="00200190"/>
    <w:rPr>
      <w:rFonts w:ascii="Arial" w:eastAsia="宋体" w:hAnsi="Arial"/>
      <w:sz w:val="18"/>
      <w:lang w:val="en-GB" w:eastAsia="en-US" w:bidi="ar-SA"/>
    </w:rPr>
  </w:style>
  <w:style w:type="paragraph" w:styleId="30">
    <w:name w:val="List Number 3"/>
    <w:basedOn w:val="a2"/>
    <w:rsid w:val="002001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2"/>
    <w:link w:val="Char1"/>
    <w:rsid w:val="00B91D1C"/>
    <w:pPr>
      <w:spacing w:after="120"/>
      <w:jc w:val="both"/>
    </w:pPr>
    <w:rPr>
      <w:rFonts w:eastAsia="MS Mincho"/>
      <w:szCs w:val="24"/>
      <w:lang w:val="x-none"/>
    </w:rPr>
  </w:style>
  <w:style w:type="character" w:customStyle="1" w:styleId="Char1">
    <w:name w:val="正文文本 Char"/>
    <w:aliases w:val="bt Char,AvtalBrödtext Char, ändrad Char,ändrad Char,Corps de texte Car Char,Corps de texte Car1 Car Char,Corps de texte Car Car Car Char,Corps de texte Car1 Car Car Car Char,Corps de texte Car Car Car Car Car Char,bt Car Char"/>
    <w:link w:val="afa"/>
    <w:rsid w:val="00B91D1C"/>
    <w:rPr>
      <w:rFonts w:eastAsia="宋体"/>
      <w:szCs w:val="24"/>
      <w:lang w:val="x-none" w:eastAsia="en-US" w:bidi="ar-SA"/>
    </w:rPr>
  </w:style>
  <w:style w:type="paragraph" w:customStyle="1" w:styleId="DocRef">
    <w:name w:val="DocRef"/>
    <w:basedOn w:val="a2"/>
    <w:rsid w:val="000605B5"/>
    <w:pPr>
      <w:numPr>
        <w:numId w:val="16"/>
      </w:numPr>
      <w:tabs>
        <w:tab w:val="clear" w:pos="720"/>
        <w:tab w:val="num" w:pos="540"/>
      </w:tabs>
      <w:spacing w:after="120"/>
      <w:ind w:left="540" w:hanging="540"/>
      <w:jc w:val="both"/>
    </w:pPr>
    <w:rPr>
      <w:lang w:val="en-US"/>
    </w:rPr>
  </w:style>
  <w:style w:type="paragraph" w:customStyle="1" w:styleId="bullet">
    <w:name w:val="bullet"/>
    <w:basedOn w:val="afb"/>
    <w:qFormat/>
    <w:rsid w:val="002A0A78"/>
    <w:pPr>
      <w:widowControl w:val="0"/>
      <w:numPr>
        <w:numId w:val="17"/>
      </w:numPr>
      <w:tabs>
        <w:tab w:val="num" w:pos="704"/>
      </w:tabs>
      <w:spacing w:after="0"/>
      <w:ind w:left="704" w:firstLineChars="0" w:firstLine="0"/>
      <w:contextualSpacing/>
      <w:jc w:val="both"/>
    </w:pPr>
    <w:rPr>
      <w:rFonts w:ascii="Calibri" w:eastAsia="Times New Roman" w:hAnsi="Calibri"/>
      <w:kern w:val="2"/>
      <w:szCs w:val="24"/>
      <w:lang w:val="en-US"/>
    </w:rPr>
  </w:style>
  <w:style w:type="paragraph" w:styleId="afb">
    <w:name w:val="List Paragraph"/>
    <w:basedOn w:val="a2"/>
    <w:uiPriority w:val="34"/>
    <w:qFormat/>
    <w:rsid w:val="002A0A78"/>
    <w:pPr>
      <w:ind w:firstLineChars="200" w:firstLine="420"/>
    </w:pPr>
  </w:style>
  <w:style w:type="table" w:customStyle="1" w:styleId="14">
    <w:name w:val="网格型1"/>
    <w:basedOn w:val="a4"/>
    <w:next w:val="af4"/>
    <w:rsid w:val="00EB700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221">
      <w:bodyDiv w:val="1"/>
      <w:marLeft w:val="0"/>
      <w:marRight w:val="0"/>
      <w:marTop w:val="0"/>
      <w:marBottom w:val="0"/>
      <w:divBdr>
        <w:top w:val="none" w:sz="0" w:space="0" w:color="auto"/>
        <w:left w:val="none" w:sz="0" w:space="0" w:color="auto"/>
        <w:bottom w:val="none" w:sz="0" w:space="0" w:color="auto"/>
        <w:right w:val="none" w:sz="0" w:space="0" w:color="auto"/>
      </w:divBdr>
      <w:divsChild>
        <w:div w:id="368800603">
          <w:marLeft w:val="547"/>
          <w:marRight w:val="0"/>
          <w:marTop w:val="96"/>
          <w:marBottom w:val="0"/>
          <w:divBdr>
            <w:top w:val="none" w:sz="0" w:space="0" w:color="auto"/>
            <w:left w:val="none" w:sz="0" w:space="0" w:color="auto"/>
            <w:bottom w:val="none" w:sz="0" w:space="0" w:color="auto"/>
            <w:right w:val="none" w:sz="0" w:space="0" w:color="auto"/>
          </w:divBdr>
        </w:div>
        <w:div w:id="561603480">
          <w:marLeft w:val="1166"/>
          <w:marRight w:val="0"/>
          <w:marTop w:val="86"/>
          <w:marBottom w:val="0"/>
          <w:divBdr>
            <w:top w:val="none" w:sz="0" w:space="0" w:color="auto"/>
            <w:left w:val="none" w:sz="0" w:space="0" w:color="auto"/>
            <w:bottom w:val="none" w:sz="0" w:space="0" w:color="auto"/>
            <w:right w:val="none" w:sz="0" w:space="0" w:color="auto"/>
          </w:divBdr>
        </w:div>
        <w:div w:id="689643457">
          <w:marLeft w:val="1166"/>
          <w:marRight w:val="0"/>
          <w:marTop w:val="86"/>
          <w:marBottom w:val="0"/>
          <w:divBdr>
            <w:top w:val="none" w:sz="0" w:space="0" w:color="auto"/>
            <w:left w:val="none" w:sz="0" w:space="0" w:color="auto"/>
            <w:bottom w:val="none" w:sz="0" w:space="0" w:color="auto"/>
            <w:right w:val="none" w:sz="0" w:space="0" w:color="auto"/>
          </w:divBdr>
        </w:div>
        <w:div w:id="862551342">
          <w:marLeft w:val="1166"/>
          <w:marRight w:val="0"/>
          <w:marTop w:val="86"/>
          <w:marBottom w:val="0"/>
          <w:divBdr>
            <w:top w:val="none" w:sz="0" w:space="0" w:color="auto"/>
            <w:left w:val="none" w:sz="0" w:space="0" w:color="auto"/>
            <w:bottom w:val="none" w:sz="0" w:space="0" w:color="auto"/>
            <w:right w:val="none" w:sz="0" w:space="0" w:color="auto"/>
          </w:divBdr>
        </w:div>
        <w:div w:id="894245295">
          <w:marLeft w:val="1800"/>
          <w:marRight w:val="0"/>
          <w:marTop w:val="77"/>
          <w:marBottom w:val="0"/>
          <w:divBdr>
            <w:top w:val="none" w:sz="0" w:space="0" w:color="auto"/>
            <w:left w:val="none" w:sz="0" w:space="0" w:color="auto"/>
            <w:bottom w:val="none" w:sz="0" w:space="0" w:color="auto"/>
            <w:right w:val="none" w:sz="0" w:space="0" w:color="auto"/>
          </w:divBdr>
        </w:div>
        <w:div w:id="1067145249">
          <w:marLeft w:val="1800"/>
          <w:marRight w:val="0"/>
          <w:marTop w:val="77"/>
          <w:marBottom w:val="0"/>
          <w:divBdr>
            <w:top w:val="none" w:sz="0" w:space="0" w:color="auto"/>
            <w:left w:val="none" w:sz="0" w:space="0" w:color="auto"/>
            <w:bottom w:val="none" w:sz="0" w:space="0" w:color="auto"/>
            <w:right w:val="none" w:sz="0" w:space="0" w:color="auto"/>
          </w:divBdr>
        </w:div>
        <w:div w:id="1188645157">
          <w:marLeft w:val="1800"/>
          <w:marRight w:val="0"/>
          <w:marTop w:val="77"/>
          <w:marBottom w:val="0"/>
          <w:divBdr>
            <w:top w:val="none" w:sz="0" w:space="0" w:color="auto"/>
            <w:left w:val="none" w:sz="0" w:space="0" w:color="auto"/>
            <w:bottom w:val="none" w:sz="0" w:space="0" w:color="auto"/>
            <w:right w:val="none" w:sz="0" w:space="0" w:color="auto"/>
          </w:divBdr>
        </w:div>
        <w:div w:id="1203400267">
          <w:marLeft w:val="547"/>
          <w:marRight w:val="0"/>
          <w:marTop w:val="96"/>
          <w:marBottom w:val="0"/>
          <w:divBdr>
            <w:top w:val="none" w:sz="0" w:space="0" w:color="auto"/>
            <w:left w:val="none" w:sz="0" w:space="0" w:color="auto"/>
            <w:bottom w:val="none" w:sz="0" w:space="0" w:color="auto"/>
            <w:right w:val="none" w:sz="0" w:space="0" w:color="auto"/>
          </w:divBdr>
        </w:div>
        <w:div w:id="1397240764">
          <w:marLeft w:val="1800"/>
          <w:marRight w:val="0"/>
          <w:marTop w:val="77"/>
          <w:marBottom w:val="0"/>
          <w:divBdr>
            <w:top w:val="none" w:sz="0" w:space="0" w:color="auto"/>
            <w:left w:val="none" w:sz="0" w:space="0" w:color="auto"/>
            <w:bottom w:val="none" w:sz="0" w:space="0" w:color="auto"/>
            <w:right w:val="none" w:sz="0" w:space="0" w:color="auto"/>
          </w:divBdr>
        </w:div>
        <w:div w:id="1465005039">
          <w:marLeft w:val="547"/>
          <w:marRight w:val="0"/>
          <w:marTop w:val="96"/>
          <w:marBottom w:val="0"/>
          <w:divBdr>
            <w:top w:val="none" w:sz="0" w:space="0" w:color="auto"/>
            <w:left w:val="none" w:sz="0" w:space="0" w:color="auto"/>
            <w:bottom w:val="none" w:sz="0" w:space="0" w:color="auto"/>
            <w:right w:val="none" w:sz="0" w:space="0" w:color="auto"/>
          </w:divBdr>
        </w:div>
        <w:div w:id="1543708241">
          <w:marLeft w:val="1800"/>
          <w:marRight w:val="0"/>
          <w:marTop w:val="77"/>
          <w:marBottom w:val="0"/>
          <w:divBdr>
            <w:top w:val="none" w:sz="0" w:space="0" w:color="auto"/>
            <w:left w:val="none" w:sz="0" w:space="0" w:color="auto"/>
            <w:bottom w:val="none" w:sz="0" w:space="0" w:color="auto"/>
            <w:right w:val="none" w:sz="0" w:space="0" w:color="auto"/>
          </w:divBdr>
        </w:div>
        <w:div w:id="1886136225">
          <w:marLeft w:val="1800"/>
          <w:marRight w:val="0"/>
          <w:marTop w:val="77"/>
          <w:marBottom w:val="0"/>
          <w:divBdr>
            <w:top w:val="none" w:sz="0" w:space="0" w:color="auto"/>
            <w:left w:val="none" w:sz="0" w:space="0" w:color="auto"/>
            <w:bottom w:val="none" w:sz="0" w:space="0" w:color="auto"/>
            <w:right w:val="none" w:sz="0" w:space="0" w:color="auto"/>
          </w:divBdr>
        </w:div>
        <w:div w:id="1931423292">
          <w:marLeft w:val="1166"/>
          <w:marRight w:val="0"/>
          <w:marTop w:val="86"/>
          <w:marBottom w:val="0"/>
          <w:divBdr>
            <w:top w:val="none" w:sz="0" w:space="0" w:color="auto"/>
            <w:left w:val="none" w:sz="0" w:space="0" w:color="auto"/>
            <w:bottom w:val="none" w:sz="0" w:space="0" w:color="auto"/>
            <w:right w:val="none" w:sz="0" w:space="0" w:color="auto"/>
          </w:divBdr>
        </w:div>
        <w:div w:id="2135982046">
          <w:marLeft w:val="547"/>
          <w:marRight w:val="0"/>
          <w:marTop w:val="96"/>
          <w:marBottom w:val="0"/>
          <w:divBdr>
            <w:top w:val="none" w:sz="0" w:space="0" w:color="auto"/>
            <w:left w:val="none" w:sz="0" w:space="0" w:color="auto"/>
            <w:bottom w:val="none" w:sz="0" w:space="0" w:color="auto"/>
            <w:right w:val="none" w:sz="0" w:space="0" w:color="auto"/>
          </w:divBdr>
        </w:div>
      </w:divsChild>
    </w:div>
    <w:div w:id="18052675">
      <w:bodyDiv w:val="1"/>
      <w:marLeft w:val="0"/>
      <w:marRight w:val="0"/>
      <w:marTop w:val="0"/>
      <w:marBottom w:val="0"/>
      <w:divBdr>
        <w:top w:val="none" w:sz="0" w:space="0" w:color="auto"/>
        <w:left w:val="none" w:sz="0" w:space="0" w:color="auto"/>
        <w:bottom w:val="none" w:sz="0" w:space="0" w:color="auto"/>
        <w:right w:val="none" w:sz="0" w:space="0" w:color="auto"/>
      </w:divBdr>
      <w:divsChild>
        <w:div w:id="197163369">
          <w:marLeft w:val="1166"/>
          <w:marRight w:val="0"/>
          <w:marTop w:val="86"/>
          <w:marBottom w:val="0"/>
          <w:divBdr>
            <w:top w:val="none" w:sz="0" w:space="0" w:color="auto"/>
            <w:left w:val="none" w:sz="0" w:space="0" w:color="auto"/>
            <w:bottom w:val="none" w:sz="0" w:space="0" w:color="auto"/>
            <w:right w:val="none" w:sz="0" w:space="0" w:color="auto"/>
          </w:divBdr>
        </w:div>
        <w:div w:id="309483700">
          <w:marLeft w:val="547"/>
          <w:marRight w:val="0"/>
          <w:marTop w:val="96"/>
          <w:marBottom w:val="0"/>
          <w:divBdr>
            <w:top w:val="none" w:sz="0" w:space="0" w:color="auto"/>
            <w:left w:val="none" w:sz="0" w:space="0" w:color="auto"/>
            <w:bottom w:val="none" w:sz="0" w:space="0" w:color="auto"/>
            <w:right w:val="none" w:sz="0" w:space="0" w:color="auto"/>
          </w:divBdr>
        </w:div>
        <w:div w:id="516237300">
          <w:marLeft w:val="1166"/>
          <w:marRight w:val="0"/>
          <w:marTop w:val="86"/>
          <w:marBottom w:val="0"/>
          <w:divBdr>
            <w:top w:val="none" w:sz="0" w:space="0" w:color="auto"/>
            <w:left w:val="none" w:sz="0" w:space="0" w:color="auto"/>
            <w:bottom w:val="none" w:sz="0" w:space="0" w:color="auto"/>
            <w:right w:val="none" w:sz="0" w:space="0" w:color="auto"/>
          </w:divBdr>
        </w:div>
        <w:div w:id="1057558182">
          <w:marLeft w:val="1166"/>
          <w:marRight w:val="0"/>
          <w:marTop w:val="86"/>
          <w:marBottom w:val="0"/>
          <w:divBdr>
            <w:top w:val="none" w:sz="0" w:space="0" w:color="auto"/>
            <w:left w:val="none" w:sz="0" w:space="0" w:color="auto"/>
            <w:bottom w:val="none" w:sz="0" w:space="0" w:color="auto"/>
            <w:right w:val="none" w:sz="0" w:space="0" w:color="auto"/>
          </w:divBdr>
        </w:div>
        <w:div w:id="1181044325">
          <w:marLeft w:val="1166"/>
          <w:marRight w:val="0"/>
          <w:marTop w:val="86"/>
          <w:marBottom w:val="0"/>
          <w:divBdr>
            <w:top w:val="none" w:sz="0" w:space="0" w:color="auto"/>
            <w:left w:val="none" w:sz="0" w:space="0" w:color="auto"/>
            <w:bottom w:val="none" w:sz="0" w:space="0" w:color="auto"/>
            <w:right w:val="none" w:sz="0" w:space="0" w:color="auto"/>
          </w:divBdr>
        </w:div>
        <w:div w:id="1318343395">
          <w:marLeft w:val="547"/>
          <w:marRight w:val="0"/>
          <w:marTop w:val="96"/>
          <w:marBottom w:val="0"/>
          <w:divBdr>
            <w:top w:val="none" w:sz="0" w:space="0" w:color="auto"/>
            <w:left w:val="none" w:sz="0" w:space="0" w:color="auto"/>
            <w:bottom w:val="none" w:sz="0" w:space="0" w:color="auto"/>
            <w:right w:val="none" w:sz="0" w:space="0" w:color="auto"/>
          </w:divBdr>
        </w:div>
        <w:div w:id="1421756315">
          <w:marLeft w:val="1166"/>
          <w:marRight w:val="0"/>
          <w:marTop w:val="86"/>
          <w:marBottom w:val="0"/>
          <w:divBdr>
            <w:top w:val="none" w:sz="0" w:space="0" w:color="auto"/>
            <w:left w:val="none" w:sz="0" w:space="0" w:color="auto"/>
            <w:bottom w:val="none" w:sz="0" w:space="0" w:color="auto"/>
            <w:right w:val="none" w:sz="0" w:space="0" w:color="auto"/>
          </w:divBdr>
        </w:div>
        <w:div w:id="1927566093">
          <w:marLeft w:val="1166"/>
          <w:marRight w:val="0"/>
          <w:marTop w:val="86"/>
          <w:marBottom w:val="0"/>
          <w:divBdr>
            <w:top w:val="none" w:sz="0" w:space="0" w:color="auto"/>
            <w:left w:val="none" w:sz="0" w:space="0" w:color="auto"/>
            <w:bottom w:val="none" w:sz="0" w:space="0" w:color="auto"/>
            <w:right w:val="none" w:sz="0" w:space="0" w:color="auto"/>
          </w:divBdr>
        </w:div>
      </w:divsChild>
    </w:div>
    <w:div w:id="118378770">
      <w:bodyDiv w:val="1"/>
      <w:marLeft w:val="0"/>
      <w:marRight w:val="0"/>
      <w:marTop w:val="0"/>
      <w:marBottom w:val="0"/>
      <w:divBdr>
        <w:top w:val="none" w:sz="0" w:space="0" w:color="auto"/>
        <w:left w:val="none" w:sz="0" w:space="0" w:color="auto"/>
        <w:bottom w:val="none" w:sz="0" w:space="0" w:color="auto"/>
        <w:right w:val="none" w:sz="0" w:space="0" w:color="auto"/>
      </w:divBdr>
      <w:divsChild>
        <w:div w:id="29888719">
          <w:marLeft w:val="547"/>
          <w:marRight w:val="0"/>
          <w:marTop w:val="96"/>
          <w:marBottom w:val="0"/>
          <w:divBdr>
            <w:top w:val="none" w:sz="0" w:space="0" w:color="auto"/>
            <w:left w:val="none" w:sz="0" w:space="0" w:color="auto"/>
            <w:bottom w:val="none" w:sz="0" w:space="0" w:color="auto"/>
            <w:right w:val="none" w:sz="0" w:space="0" w:color="auto"/>
          </w:divBdr>
        </w:div>
        <w:div w:id="137454931">
          <w:marLeft w:val="1800"/>
          <w:marRight w:val="0"/>
          <w:marTop w:val="77"/>
          <w:marBottom w:val="0"/>
          <w:divBdr>
            <w:top w:val="none" w:sz="0" w:space="0" w:color="auto"/>
            <w:left w:val="none" w:sz="0" w:space="0" w:color="auto"/>
            <w:bottom w:val="none" w:sz="0" w:space="0" w:color="auto"/>
            <w:right w:val="none" w:sz="0" w:space="0" w:color="auto"/>
          </w:divBdr>
        </w:div>
        <w:div w:id="281570375">
          <w:marLeft w:val="1166"/>
          <w:marRight w:val="0"/>
          <w:marTop w:val="86"/>
          <w:marBottom w:val="0"/>
          <w:divBdr>
            <w:top w:val="none" w:sz="0" w:space="0" w:color="auto"/>
            <w:left w:val="none" w:sz="0" w:space="0" w:color="auto"/>
            <w:bottom w:val="none" w:sz="0" w:space="0" w:color="auto"/>
            <w:right w:val="none" w:sz="0" w:space="0" w:color="auto"/>
          </w:divBdr>
        </w:div>
        <w:div w:id="494302922">
          <w:marLeft w:val="1166"/>
          <w:marRight w:val="0"/>
          <w:marTop w:val="86"/>
          <w:marBottom w:val="0"/>
          <w:divBdr>
            <w:top w:val="none" w:sz="0" w:space="0" w:color="auto"/>
            <w:left w:val="none" w:sz="0" w:space="0" w:color="auto"/>
            <w:bottom w:val="none" w:sz="0" w:space="0" w:color="auto"/>
            <w:right w:val="none" w:sz="0" w:space="0" w:color="auto"/>
          </w:divBdr>
        </w:div>
        <w:div w:id="792019998">
          <w:marLeft w:val="547"/>
          <w:marRight w:val="0"/>
          <w:marTop w:val="96"/>
          <w:marBottom w:val="0"/>
          <w:divBdr>
            <w:top w:val="none" w:sz="0" w:space="0" w:color="auto"/>
            <w:left w:val="none" w:sz="0" w:space="0" w:color="auto"/>
            <w:bottom w:val="none" w:sz="0" w:space="0" w:color="auto"/>
            <w:right w:val="none" w:sz="0" w:space="0" w:color="auto"/>
          </w:divBdr>
        </w:div>
        <w:div w:id="1275791898">
          <w:marLeft w:val="1166"/>
          <w:marRight w:val="0"/>
          <w:marTop w:val="86"/>
          <w:marBottom w:val="0"/>
          <w:divBdr>
            <w:top w:val="none" w:sz="0" w:space="0" w:color="auto"/>
            <w:left w:val="none" w:sz="0" w:space="0" w:color="auto"/>
            <w:bottom w:val="none" w:sz="0" w:space="0" w:color="auto"/>
            <w:right w:val="none" w:sz="0" w:space="0" w:color="auto"/>
          </w:divBdr>
        </w:div>
        <w:div w:id="1648511209">
          <w:marLeft w:val="547"/>
          <w:marRight w:val="0"/>
          <w:marTop w:val="96"/>
          <w:marBottom w:val="0"/>
          <w:divBdr>
            <w:top w:val="none" w:sz="0" w:space="0" w:color="auto"/>
            <w:left w:val="none" w:sz="0" w:space="0" w:color="auto"/>
            <w:bottom w:val="none" w:sz="0" w:space="0" w:color="auto"/>
            <w:right w:val="none" w:sz="0" w:space="0" w:color="auto"/>
          </w:divBdr>
        </w:div>
        <w:div w:id="1792700732">
          <w:marLeft w:val="1166"/>
          <w:marRight w:val="0"/>
          <w:marTop w:val="86"/>
          <w:marBottom w:val="0"/>
          <w:divBdr>
            <w:top w:val="none" w:sz="0" w:space="0" w:color="auto"/>
            <w:left w:val="none" w:sz="0" w:space="0" w:color="auto"/>
            <w:bottom w:val="none" w:sz="0" w:space="0" w:color="auto"/>
            <w:right w:val="none" w:sz="0" w:space="0" w:color="auto"/>
          </w:divBdr>
        </w:div>
        <w:div w:id="2023624000">
          <w:marLeft w:val="547"/>
          <w:marRight w:val="0"/>
          <w:marTop w:val="96"/>
          <w:marBottom w:val="0"/>
          <w:divBdr>
            <w:top w:val="none" w:sz="0" w:space="0" w:color="auto"/>
            <w:left w:val="none" w:sz="0" w:space="0" w:color="auto"/>
            <w:bottom w:val="none" w:sz="0" w:space="0" w:color="auto"/>
            <w:right w:val="none" w:sz="0" w:space="0" w:color="auto"/>
          </w:divBdr>
        </w:div>
      </w:divsChild>
    </w:div>
    <w:div w:id="126701045">
      <w:bodyDiv w:val="1"/>
      <w:marLeft w:val="0"/>
      <w:marRight w:val="0"/>
      <w:marTop w:val="0"/>
      <w:marBottom w:val="0"/>
      <w:divBdr>
        <w:top w:val="none" w:sz="0" w:space="0" w:color="auto"/>
        <w:left w:val="none" w:sz="0" w:space="0" w:color="auto"/>
        <w:bottom w:val="none" w:sz="0" w:space="0" w:color="auto"/>
        <w:right w:val="none" w:sz="0" w:space="0" w:color="auto"/>
      </w:divBdr>
      <w:divsChild>
        <w:div w:id="227765444">
          <w:marLeft w:val="547"/>
          <w:marRight w:val="0"/>
          <w:marTop w:val="96"/>
          <w:marBottom w:val="0"/>
          <w:divBdr>
            <w:top w:val="none" w:sz="0" w:space="0" w:color="auto"/>
            <w:left w:val="none" w:sz="0" w:space="0" w:color="auto"/>
            <w:bottom w:val="none" w:sz="0" w:space="0" w:color="auto"/>
            <w:right w:val="none" w:sz="0" w:space="0" w:color="auto"/>
          </w:divBdr>
        </w:div>
        <w:div w:id="780078074">
          <w:marLeft w:val="1800"/>
          <w:marRight w:val="0"/>
          <w:marTop w:val="77"/>
          <w:marBottom w:val="0"/>
          <w:divBdr>
            <w:top w:val="none" w:sz="0" w:space="0" w:color="auto"/>
            <w:left w:val="none" w:sz="0" w:space="0" w:color="auto"/>
            <w:bottom w:val="none" w:sz="0" w:space="0" w:color="auto"/>
            <w:right w:val="none" w:sz="0" w:space="0" w:color="auto"/>
          </w:divBdr>
        </w:div>
        <w:div w:id="869033092">
          <w:marLeft w:val="547"/>
          <w:marRight w:val="0"/>
          <w:marTop w:val="96"/>
          <w:marBottom w:val="0"/>
          <w:divBdr>
            <w:top w:val="none" w:sz="0" w:space="0" w:color="auto"/>
            <w:left w:val="none" w:sz="0" w:space="0" w:color="auto"/>
            <w:bottom w:val="none" w:sz="0" w:space="0" w:color="auto"/>
            <w:right w:val="none" w:sz="0" w:space="0" w:color="auto"/>
          </w:divBdr>
        </w:div>
        <w:div w:id="1095132455">
          <w:marLeft w:val="1166"/>
          <w:marRight w:val="0"/>
          <w:marTop w:val="86"/>
          <w:marBottom w:val="0"/>
          <w:divBdr>
            <w:top w:val="none" w:sz="0" w:space="0" w:color="auto"/>
            <w:left w:val="none" w:sz="0" w:space="0" w:color="auto"/>
            <w:bottom w:val="none" w:sz="0" w:space="0" w:color="auto"/>
            <w:right w:val="none" w:sz="0" w:space="0" w:color="auto"/>
          </w:divBdr>
        </w:div>
        <w:div w:id="1401633185">
          <w:marLeft w:val="1166"/>
          <w:marRight w:val="0"/>
          <w:marTop w:val="86"/>
          <w:marBottom w:val="0"/>
          <w:divBdr>
            <w:top w:val="none" w:sz="0" w:space="0" w:color="auto"/>
            <w:left w:val="none" w:sz="0" w:space="0" w:color="auto"/>
            <w:bottom w:val="none" w:sz="0" w:space="0" w:color="auto"/>
            <w:right w:val="none" w:sz="0" w:space="0" w:color="auto"/>
          </w:divBdr>
        </w:div>
        <w:div w:id="1477795359">
          <w:marLeft w:val="1166"/>
          <w:marRight w:val="0"/>
          <w:marTop w:val="86"/>
          <w:marBottom w:val="0"/>
          <w:divBdr>
            <w:top w:val="none" w:sz="0" w:space="0" w:color="auto"/>
            <w:left w:val="none" w:sz="0" w:space="0" w:color="auto"/>
            <w:bottom w:val="none" w:sz="0" w:space="0" w:color="auto"/>
            <w:right w:val="none" w:sz="0" w:space="0" w:color="auto"/>
          </w:divBdr>
        </w:div>
        <w:div w:id="1492451822">
          <w:marLeft w:val="547"/>
          <w:marRight w:val="0"/>
          <w:marTop w:val="96"/>
          <w:marBottom w:val="0"/>
          <w:divBdr>
            <w:top w:val="none" w:sz="0" w:space="0" w:color="auto"/>
            <w:left w:val="none" w:sz="0" w:space="0" w:color="auto"/>
            <w:bottom w:val="none" w:sz="0" w:space="0" w:color="auto"/>
            <w:right w:val="none" w:sz="0" w:space="0" w:color="auto"/>
          </w:divBdr>
        </w:div>
        <w:div w:id="1854342726">
          <w:marLeft w:val="547"/>
          <w:marRight w:val="0"/>
          <w:marTop w:val="96"/>
          <w:marBottom w:val="0"/>
          <w:divBdr>
            <w:top w:val="none" w:sz="0" w:space="0" w:color="auto"/>
            <w:left w:val="none" w:sz="0" w:space="0" w:color="auto"/>
            <w:bottom w:val="none" w:sz="0" w:space="0" w:color="auto"/>
            <w:right w:val="none" w:sz="0" w:space="0" w:color="auto"/>
          </w:divBdr>
        </w:div>
        <w:div w:id="1904873360">
          <w:marLeft w:val="1166"/>
          <w:marRight w:val="0"/>
          <w:marTop w:val="86"/>
          <w:marBottom w:val="0"/>
          <w:divBdr>
            <w:top w:val="none" w:sz="0" w:space="0" w:color="auto"/>
            <w:left w:val="none" w:sz="0" w:space="0" w:color="auto"/>
            <w:bottom w:val="none" w:sz="0" w:space="0" w:color="auto"/>
            <w:right w:val="none" w:sz="0" w:space="0" w:color="auto"/>
          </w:divBdr>
        </w:div>
      </w:divsChild>
    </w:div>
    <w:div w:id="148325059">
      <w:bodyDiv w:val="1"/>
      <w:marLeft w:val="0"/>
      <w:marRight w:val="0"/>
      <w:marTop w:val="0"/>
      <w:marBottom w:val="0"/>
      <w:divBdr>
        <w:top w:val="none" w:sz="0" w:space="0" w:color="auto"/>
        <w:left w:val="none" w:sz="0" w:space="0" w:color="auto"/>
        <w:bottom w:val="none" w:sz="0" w:space="0" w:color="auto"/>
        <w:right w:val="none" w:sz="0" w:space="0" w:color="auto"/>
      </w:divBdr>
      <w:divsChild>
        <w:div w:id="637494496">
          <w:marLeft w:val="1800"/>
          <w:marRight w:val="0"/>
          <w:marTop w:val="77"/>
          <w:marBottom w:val="0"/>
          <w:divBdr>
            <w:top w:val="none" w:sz="0" w:space="0" w:color="auto"/>
            <w:left w:val="none" w:sz="0" w:space="0" w:color="auto"/>
            <w:bottom w:val="none" w:sz="0" w:space="0" w:color="auto"/>
            <w:right w:val="none" w:sz="0" w:space="0" w:color="auto"/>
          </w:divBdr>
        </w:div>
        <w:div w:id="1053040589">
          <w:marLeft w:val="1166"/>
          <w:marRight w:val="0"/>
          <w:marTop w:val="86"/>
          <w:marBottom w:val="0"/>
          <w:divBdr>
            <w:top w:val="none" w:sz="0" w:space="0" w:color="auto"/>
            <w:left w:val="none" w:sz="0" w:space="0" w:color="auto"/>
            <w:bottom w:val="none" w:sz="0" w:space="0" w:color="auto"/>
            <w:right w:val="none" w:sz="0" w:space="0" w:color="auto"/>
          </w:divBdr>
        </w:div>
      </w:divsChild>
    </w:div>
    <w:div w:id="158616524">
      <w:bodyDiv w:val="1"/>
      <w:marLeft w:val="0"/>
      <w:marRight w:val="0"/>
      <w:marTop w:val="0"/>
      <w:marBottom w:val="0"/>
      <w:divBdr>
        <w:top w:val="none" w:sz="0" w:space="0" w:color="auto"/>
        <w:left w:val="none" w:sz="0" w:space="0" w:color="auto"/>
        <w:bottom w:val="none" w:sz="0" w:space="0" w:color="auto"/>
        <w:right w:val="none" w:sz="0" w:space="0" w:color="auto"/>
      </w:divBdr>
    </w:div>
    <w:div w:id="163710056">
      <w:bodyDiv w:val="1"/>
      <w:marLeft w:val="0"/>
      <w:marRight w:val="0"/>
      <w:marTop w:val="0"/>
      <w:marBottom w:val="0"/>
      <w:divBdr>
        <w:top w:val="none" w:sz="0" w:space="0" w:color="auto"/>
        <w:left w:val="none" w:sz="0" w:space="0" w:color="auto"/>
        <w:bottom w:val="none" w:sz="0" w:space="0" w:color="auto"/>
        <w:right w:val="none" w:sz="0" w:space="0" w:color="auto"/>
      </w:divBdr>
      <w:divsChild>
        <w:div w:id="85805543">
          <w:marLeft w:val="1166"/>
          <w:marRight w:val="0"/>
          <w:marTop w:val="86"/>
          <w:marBottom w:val="0"/>
          <w:divBdr>
            <w:top w:val="none" w:sz="0" w:space="0" w:color="auto"/>
            <w:left w:val="none" w:sz="0" w:space="0" w:color="auto"/>
            <w:bottom w:val="none" w:sz="0" w:space="0" w:color="auto"/>
            <w:right w:val="none" w:sz="0" w:space="0" w:color="auto"/>
          </w:divBdr>
        </w:div>
        <w:div w:id="552346506">
          <w:marLeft w:val="1166"/>
          <w:marRight w:val="0"/>
          <w:marTop w:val="86"/>
          <w:marBottom w:val="0"/>
          <w:divBdr>
            <w:top w:val="none" w:sz="0" w:space="0" w:color="auto"/>
            <w:left w:val="none" w:sz="0" w:space="0" w:color="auto"/>
            <w:bottom w:val="none" w:sz="0" w:space="0" w:color="auto"/>
            <w:right w:val="none" w:sz="0" w:space="0" w:color="auto"/>
          </w:divBdr>
        </w:div>
        <w:div w:id="981077273">
          <w:marLeft w:val="547"/>
          <w:marRight w:val="0"/>
          <w:marTop w:val="96"/>
          <w:marBottom w:val="0"/>
          <w:divBdr>
            <w:top w:val="none" w:sz="0" w:space="0" w:color="auto"/>
            <w:left w:val="none" w:sz="0" w:space="0" w:color="auto"/>
            <w:bottom w:val="none" w:sz="0" w:space="0" w:color="auto"/>
            <w:right w:val="none" w:sz="0" w:space="0" w:color="auto"/>
          </w:divBdr>
        </w:div>
        <w:div w:id="1046221263">
          <w:marLeft w:val="547"/>
          <w:marRight w:val="0"/>
          <w:marTop w:val="96"/>
          <w:marBottom w:val="0"/>
          <w:divBdr>
            <w:top w:val="none" w:sz="0" w:space="0" w:color="auto"/>
            <w:left w:val="none" w:sz="0" w:space="0" w:color="auto"/>
            <w:bottom w:val="none" w:sz="0" w:space="0" w:color="auto"/>
            <w:right w:val="none" w:sz="0" w:space="0" w:color="auto"/>
          </w:divBdr>
        </w:div>
        <w:div w:id="1087262449">
          <w:marLeft w:val="1166"/>
          <w:marRight w:val="0"/>
          <w:marTop w:val="86"/>
          <w:marBottom w:val="0"/>
          <w:divBdr>
            <w:top w:val="none" w:sz="0" w:space="0" w:color="auto"/>
            <w:left w:val="none" w:sz="0" w:space="0" w:color="auto"/>
            <w:bottom w:val="none" w:sz="0" w:space="0" w:color="auto"/>
            <w:right w:val="none" w:sz="0" w:space="0" w:color="auto"/>
          </w:divBdr>
        </w:div>
        <w:div w:id="1108283050">
          <w:marLeft w:val="547"/>
          <w:marRight w:val="0"/>
          <w:marTop w:val="96"/>
          <w:marBottom w:val="0"/>
          <w:divBdr>
            <w:top w:val="none" w:sz="0" w:space="0" w:color="auto"/>
            <w:left w:val="none" w:sz="0" w:space="0" w:color="auto"/>
            <w:bottom w:val="none" w:sz="0" w:space="0" w:color="auto"/>
            <w:right w:val="none" w:sz="0" w:space="0" w:color="auto"/>
          </w:divBdr>
        </w:div>
        <w:div w:id="1281378834">
          <w:marLeft w:val="547"/>
          <w:marRight w:val="0"/>
          <w:marTop w:val="96"/>
          <w:marBottom w:val="0"/>
          <w:divBdr>
            <w:top w:val="none" w:sz="0" w:space="0" w:color="auto"/>
            <w:left w:val="none" w:sz="0" w:space="0" w:color="auto"/>
            <w:bottom w:val="none" w:sz="0" w:space="0" w:color="auto"/>
            <w:right w:val="none" w:sz="0" w:space="0" w:color="auto"/>
          </w:divBdr>
        </w:div>
      </w:divsChild>
    </w:div>
    <w:div w:id="181405698">
      <w:bodyDiv w:val="1"/>
      <w:marLeft w:val="0"/>
      <w:marRight w:val="0"/>
      <w:marTop w:val="0"/>
      <w:marBottom w:val="0"/>
      <w:divBdr>
        <w:top w:val="none" w:sz="0" w:space="0" w:color="auto"/>
        <w:left w:val="none" w:sz="0" w:space="0" w:color="auto"/>
        <w:bottom w:val="none" w:sz="0" w:space="0" w:color="auto"/>
        <w:right w:val="none" w:sz="0" w:space="0" w:color="auto"/>
      </w:divBdr>
      <w:divsChild>
        <w:div w:id="367612506">
          <w:marLeft w:val="1166"/>
          <w:marRight w:val="0"/>
          <w:marTop w:val="77"/>
          <w:marBottom w:val="0"/>
          <w:divBdr>
            <w:top w:val="none" w:sz="0" w:space="0" w:color="auto"/>
            <w:left w:val="none" w:sz="0" w:space="0" w:color="auto"/>
            <w:bottom w:val="none" w:sz="0" w:space="0" w:color="auto"/>
            <w:right w:val="none" w:sz="0" w:space="0" w:color="auto"/>
          </w:divBdr>
        </w:div>
        <w:div w:id="867723381">
          <w:marLeft w:val="1800"/>
          <w:marRight w:val="0"/>
          <w:marTop w:val="67"/>
          <w:marBottom w:val="0"/>
          <w:divBdr>
            <w:top w:val="none" w:sz="0" w:space="0" w:color="auto"/>
            <w:left w:val="none" w:sz="0" w:space="0" w:color="auto"/>
            <w:bottom w:val="none" w:sz="0" w:space="0" w:color="auto"/>
            <w:right w:val="none" w:sz="0" w:space="0" w:color="auto"/>
          </w:divBdr>
        </w:div>
        <w:div w:id="1441338471">
          <w:marLeft w:val="1800"/>
          <w:marRight w:val="0"/>
          <w:marTop w:val="67"/>
          <w:marBottom w:val="0"/>
          <w:divBdr>
            <w:top w:val="none" w:sz="0" w:space="0" w:color="auto"/>
            <w:left w:val="none" w:sz="0" w:space="0" w:color="auto"/>
            <w:bottom w:val="none" w:sz="0" w:space="0" w:color="auto"/>
            <w:right w:val="none" w:sz="0" w:space="0" w:color="auto"/>
          </w:divBdr>
        </w:div>
        <w:div w:id="1559129564">
          <w:marLeft w:val="1166"/>
          <w:marRight w:val="0"/>
          <w:marTop w:val="77"/>
          <w:marBottom w:val="0"/>
          <w:divBdr>
            <w:top w:val="none" w:sz="0" w:space="0" w:color="auto"/>
            <w:left w:val="none" w:sz="0" w:space="0" w:color="auto"/>
            <w:bottom w:val="none" w:sz="0" w:space="0" w:color="auto"/>
            <w:right w:val="none" w:sz="0" w:space="0" w:color="auto"/>
          </w:divBdr>
        </w:div>
        <w:div w:id="1744596877">
          <w:marLeft w:val="1800"/>
          <w:marRight w:val="0"/>
          <w:marTop w:val="67"/>
          <w:marBottom w:val="0"/>
          <w:divBdr>
            <w:top w:val="none" w:sz="0" w:space="0" w:color="auto"/>
            <w:left w:val="none" w:sz="0" w:space="0" w:color="auto"/>
            <w:bottom w:val="none" w:sz="0" w:space="0" w:color="auto"/>
            <w:right w:val="none" w:sz="0" w:space="0" w:color="auto"/>
          </w:divBdr>
        </w:div>
        <w:div w:id="1856647841">
          <w:marLeft w:val="1800"/>
          <w:marRight w:val="0"/>
          <w:marTop w:val="67"/>
          <w:marBottom w:val="0"/>
          <w:divBdr>
            <w:top w:val="none" w:sz="0" w:space="0" w:color="auto"/>
            <w:left w:val="none" w:sz="0" w:space="0" w:color="auto"/>
            <w:bottom w:val="none" w:sz="0" w:space="0" w:color="auto"/>
            <w:right w:val="none" w:sz="0" w:space="0" w:color="auto"/>
          </w:divBdr>
        </w:div>
        <w:div w:id="1876847980">
          <w:marLeft w:val="1800"/>
          <w:marRight w:val="0"/>
          <w:marTop w:val="67"/>
          <w:marBottom w:val="0"/>
          <w:divBdr>
            <w:top w:val="none" w:sz="0" w:space="0" w:color="auto"/>
            <w:left w:val="none" w:sz="0" w:space="0" w:color="auto"/>
            <w:bottom w:val="none" w:sz="0" w:space="0" w:color="auto"/>
            <w:right w:val="none" w:sz="0" w:space="0" w:color="auto"/>
          </w:divBdr>
        </w:div>
        <w:div w:id="1905798035">
          <w:marLeft w:val="547"/>
          <w:marRight w:val="0"/>
          <w:marTop w:val="96"/>
          <w:marBottom w:val="0"/>
          <w:divBdr>
            <w:top w:val="none" w:sz="0" w:space="0" w:color="auto"/>
            <w:left w:val="none" w:sz="0" w:space="0" w:color="auto"/>
            <w:bottom w:val="none" w:sz="0" w:space="0" w:color="auto"/>
            <w:right w:val="none" w:sz="0" w:space="0" w:color="auto"/>
          </w:divBdr>
        </w:div>
      </w:divsChild>
    </w:div>
    <w:div w:id="214511747">
      <w:bodyDiv w:val="1"/>
      <w:marLeft w:val="0"/>
      <w:marRight w:val="0"/>
      <w:marTop w:val="0"/>
      <w:marBottom w:val="0"/>
      <w:divBdr>
        <w:top w:val="none" w:sz="0" w:space="0" w:color="auto"/>
        <w:left w:val="none" w:sz="0" w:space="0" w:color="auto"/>
        <w:bottom w:val="none" w:sz="0" w:space="0" w:color="auto"/>
        <w:right w:val="none" w:sz="0" w:space="0" w:color="auto"/>
      </w:divBdr>
    </w:div>
    <w:div w:id="218789600">
      <w:bodyDiv w:val="1"/>
      <w:marLeft w:val="0"/>
      <w:marRight w:val="0"/>
      <w:marTop w:val="0"/>
      <w:marBottom w:val="0"/>
      <w:divBdr>
        <w:top w:val="none" w:sz="0" w:space="0" w:color="auto"/>
        <w:left w:val="none" w:sz="0" w:space="0" w:color="auto"/>
        <w:bottom w:val="none" w:sz="0" w:space="0" w:color="auto"/>
        <w:right w:val="none" w:sz="0" w:space="0" w:color="auto"/>
      </w:divBdr>
      <w:divsChild>
        <w:div w:id="197668873">
          <w:marLeft w:val="1166"/>
          <w:marRight w:val="0"/>
          <w:marTop w:val="86"/>
          <w:marBottom w:val="0"/>
          <w:divBdr>
            <w:top w:val="none" w:sz="0" w:space="0" w:color="auto"/>
            <w:left w:val="none" w:sz="0" w:space="0" w:color="auto"/>
            <w:bottom w:val="none" w:sz="0" w:space="0" w:color="auto"/>
            <w:right w:val="none" w:sz="0" w:space="0" w:color="auto"/>
          </w:divBdr>
        </w:div>
        <w:div w:id="441608196">
          <w:marLeft w:val="1800"/>
          <w:marRight w:val="0"/>
          <w:marTop w:val="77"/>
          <w:marBottom w:val="0"/>
          <w:divBdr>
            <w:top w:val="none" w:sz="0" w:space="0" w:color="auto"/>
            <w:left w:val="none" w:sz="0" w:space="0" w:color="auto"/>
            <w:bottom w:val="none" w:sz="0" w:space="0" w:color="auto"/>
            <w:right w:val="none" w:sz="0" w:space="0" w:color="auto"/>
          </w:divBdr>
        </w:div>
        <w:div w:id="1137645239">
          <w:marLeft w:val="547"/>
          <w:marRight w:val="0"/>
          <w:marTop w:val="96"/>
          <w:marBottom w:val="0"/>
          <w:divBdr>
            <w:top w:val="none" w:sz="0" w:space="0" w:color="auto"/>
            <w:left w:val="none" w:sz="0" w:space="0" w:color="auto"/>
            <w:bottom w:val="none" w:sz="0" w:space="0" w:color="auto"/>
            <w:right w:val="none" w:sz="0" w:space="0" w:color="auto"/>
          </w:divBdr>
        </w:div>
        <w:div w:id="1896501487">
          <w:marLeft w:val="1800"/>
          <w:marRight w:val="0"/>
          <w:marTop w:val="77"/>
          <w:marBottom w:val="0"/>
          <w:divBdr>
            <w:top w:val="none" w:sz="0" w:space="0" w:color="auto"/>
            <w:left w:val="none" w:sz="0" w:space="0" w:color="auto"/>
            <w:bottom w:val="none" w:sz="0" w:space="0" w:color="auto"/>
            <w:right w:val="none" w:sz="0" w:space="0" w:color="auto"/>
          </w:divBdr>
        </w:div>
      </w:divsChild>
    </w:div>
    <w:div w:id="253054818">
      <w:bodyDiv w:val="1"/>
      <w:marLeft w:val="0"/>
      <w:marRight w:val="0"/>
      <w:marTop w:val="0"/>
      <w:marBottom w:val="0"/>
      <w:divBdr>
        <w:top w:val="none" w:sz="0" w:space="0" w:color="auto"/>
        <w:left w:val="none" w:sz="0" w:space="0" w:color="auto"/>
        <w:bottom w:val="none" w:sz="0" w:space="0" w:color="auto"/>
        <w:right w:val="none" w:sz="0" w:space="0" w:color="auto"/>
      </w:divBdr>
      <w:divsChild>
        <w:div w:id="28460576">
          <w:marLeft w:val="1166"/>
          <w:marRight w:val="0"/>
          <w:marTop w:val="67"/>
          <w:marBottom w:val="0"/>
          <w:divBdr>
            <w:top w:val="none" w:sz="0" w:space="0" w:color="auto"/>
            <w:left w:val="none" w:sz="0" w:space="0" w:color="auto"/>
            <w:bottom w:val="none" w:sz="0" w:space="0" w:color="auto"/>
            <w:right w:val="none" w:sz="0" w:space="0" w:color="auto"/>
          </w:divBdr>
        </w:div>
        <w:div w:id="576093291">
          <w:marLeft w:val="1800"/>
          <w:marRight w:val="0"/>
          <w:marTop w:val="62"/>
          <w:marBottom w:val="0"/>
          <w:divBdr>
            <w:top w:val="none" w:sz="0" w:space="0" w:color="auto"/>
            <w:left w:val="none" w:sz="0" w:space="0" w:color="auto"/>
            <w:bottom w:val="none" w:sz="0" w:space="0" w:color="auto"/>
            <w:right w:val="none" w:sz="0" w:space="0" w:color="auto"/>
          </w:divBdr>
        </w:div>
        <w:div w:id="1063065064">
          <w:marLeft w:val="1166"/>
          <w:marRight w:val="0"/>
          <w:marTop w:val="67"/>
          <w:marBottom w:val="0"/>
          <w:divBdr>
            <w:top w:val="none" w:sz="0" w:space="0" w:color="auto"/>
            <w:left w:val="none" w:sz="0" w:space="0" w:color="auto"/>
            <w:bottom w:val="none" w:sz="0" w:space="0" w:color="auto"/>
            <w:right w:val="none" w:sz="0" w:space="0" w:color="auto"/>
          </w:divBdr>
        </w:div>
        <w:div w:id="1104616805">
          <w:marLeft w:val="1166"/>
          <w:marRight w:val="0"/>
          <w:marTop w:val="67"/>
          <w:marBottom w:val="0"/>
          <w:divBdr>
            <w:top w:val="none" w:sz="0" w:space="0" w:color="auto"/>
            <w:left w:val="none" w:sz="0" w:space="0" w:color="auto"/>
            <w:bottom w:val="none" w:sz="0" w:space="0" w:color="auto"/>
            <w:right w:val="none" w:sz="0" w:space="0" w:color="auto"/>
          </w:divBdr>
        </w:div>
        <w:div w:id="1184711533">
          <w:marLeft w:val="1166"/>
          <w:marRight w:val="0"/>
          <w:marTop w:val="67"/>
          <w:marBottom w:val="0"/>
          <w:divBdr>
            <w:top w:val="none" w:sz="0" w:space="0" w:color="auto"/>
            <w:left w:val="none" w:sz="0" w:space="0" w:color="auto"/>
            <w:bottom w:val="none" w:sz="0" w:space="0" w:color="auto"/>
            <w:right w:val="none" w:sz="0" w:space="0" w:color="auto"/>
          </w:divBdr>
        </w:div>
        <w:div w:id="1225604385">
          <w:marLeft w:val="1166"/>
          <w:marRight w:val="0"/>
          <w:marTop w:val="67"/>
          <w:marBottom w:val="0"/>
          <w:divBdr>
            <w:top w:val="none" w:sz="0" w:space="0" w:color="auto"/>
            <w:left w:val="none" w:sz="0" w:space="0" w:color="auto"/>
            <w:bottom w:val="none" w:sz="0" w:space="0" w:color="auto"/>
            <w:right w:val="none" w:sz="0" w:space="0" w:color="auto"/>
          </w:divBdr>
        </w:div>
        <w:div w:id="1318068524">
          <w:marLeft w:val="1166"/>
          <w:marRight w:val="0"/>
          <w:marTop w:val="67"/>
          <w:marBottom w:val="0"/>
          <w:divBdr>
            <w:top w:val="none" w:sz="0" w:space="0" w:color="auto"/>
            <w:left w:val="none" w:sz="0" w:space="0" w:color="auto"/>
            <w:bottom w:val="none" w:sz="0" w:space="0" w:color="auto"/>
            <w:right w:val="none" w:sz="0" w:space="0" w:color="auto"/>
          </w:divBdr>
        </w:div>
        <w:div w:id="1563524090">
          <w:marLeft w:val="547"/>
          <w:marRight w:val="0"/>
          <w:marTop w:val="77"/>
          <w:marBottom w:val="0"/>
          <w:divBdr>
            <w:top w:val="none" w:sz="0" w:space="0" w:color="auto"/>
            <w:left w:val="none" w:sz="0" w:space="0" w:color="auto"/>
            <w:bottom w:val="none" w:sz="0" w:space="0" w:color="auto"/>
            <w:right w:val="none" w:sz="0" w:space="0" w:color="auto"/>
          </w:divBdr>
        </w:div>
        <w:div w:id="1850096808">
          <w:marLeft w:val="1166"/>
          <w:marRight w:val="0"/>
          <w:marTop w:val="67"/>
          <w:marBottom w:val="0"/>
          <w:divBdr>
            <w:top w:val="none" w:sz="0" w:space="0" w:color="auto"/>
            <w:left w:val="none" w:sz="0" w:space="0" w:color="auto"/>
            <w:bottom w:val="none" w:sz="0" w:space="0" w:color="auto"/>
            <w:right w:val="none" w:sz="0" w:space="0" w:color="auto"/>
          </w:divBdr>
        </w:div>
        <w:div w:id="1861891340">
          <w:marLeft w:val="1166"/>
          <w:marRight w:val="0"/>
          <w:marTop w:val="67"/>
          <w:marBottom w:val="0"/>
          <w:divBdr>
            <w:top w:val="none" w:sz="0" w:space="0" w:color="auto"/>
            <w:left w:val="none" w:sz="0" w:space="0" w:color="auto"/>
            <w:bottom w:val="none" w:sz="0" w:space="0" w:color="auto"/>
            <w:right w:val="none" w:sz="0" w:space="0" w:color="auto"/>
          </w:divBdr>
        </w:div>
        <w:div w:id="1917351196">
          <w:marLeft w:val="1800"/>
          <w:marRight w:val="0"/>
          <w:marTop w:val="62"/>
          <w:marBottom w:val="0"/>
          <w:divBdr>
            <w:top w:val="none" w:sz="0" w:space="0" w:color="auto"/>
            <w:left w:val="none" w:sz="0" w:space="0" w:color="auto"/>
            <w:bottom w:val="none" w:sz="0" w:space="0" w:color="auto"/>
            <w:right w:val="none" w:sz="0" w:space="0" w:color="auto"/>
          </w:divBdr>
        </w:div>
        <w:div w:id="1919288098">
          <w:marLeft w:val="547"/>
          <w:marRight w:val="0"/>
          <w:marTop w:val="77"/>
          <w:marBottom w:val="0"/>
          <w:divBdr>
            <w:top w:val="none" w:sz="0" w:space="0" w:color="auto"/>
            <w:left w:val="none" w:sz="0" w:space="0" w:color="auto"/>
            <w:bottom w:val="none" w:sz="0" w:space="0" w:color="auto"/>
            <w:right w:val="none" w:sz="0" w:space="0" w:color="auto"/>
          </w:divBdr>
        </w:div>
        <w:div w:id="1940482120">
          <w:marLeft w:val="1166"/>
          <w:marRight w:val="0"/>
          <w:marTop w:val="67"/>
          <w:marBottom w:val="0"/>
          <w:divBdr>
            <w:top w:val="none" w:sz="0" w:space="0" w:color="auto"/>
            <w:left w:val="none" w:sz="0" w:space="0" w:color="auto"/>
            <w:bottom w:val="none" w:sz="0" w:space="0" w:color="auto"/>
            <w:right w:val="none" w:sz="0" w:space="0" w:color="auto"/>
          </w:divBdr>
        </w:div>
      </w:divsChild>
    </w:div>
    <w:div w:id="255870973">
      <w:bodyDiv w:val="1"/>
      <w:marLeft w:val="0"/>
      <w:marRight w:val="0"/>
      <w:marTop w:val="0"/>
      <w:marBottom w:val="0"/>
      <w:divBdr>
        <w:top w:val="none" w:sz="0" w:space="0" w:color="auto"/>
        <w:left w:val="none" w:sz="0" w:space="0" w:color="auto"/>
        <w:bottom w:val="none" w:sz="0" w:space="0" w:color="auto"/>
        <w:right w:val="none" w:sz="0" w:space="0" w:color="auto"/>
      </w:divBdr>
      <w:divsChild>
        <w:div w:id="158889865">
          <w:marLeft w:val="547"/>
          <w:marRight w:val="0"/>
          <w:marTop w:val="96"/>
          <w:marBottom w:val="0"/>
          <w:divBdr>
            <w:top w:val="none" w:sz="0" w:space="0" w:color="auto"/>
            <w:left w:val="none" w:sz="0" w:space="0" w:color="auto"/>
            <w:bottom w:val="none" w:sz="0" w:space="0" w:color="auto"/>
            <w:right w:val="none" w:sz="0" w:space="0" w:color="auto"/>
          </w:divBdr>
        </w:div>
        <w:div w:id="163859578">
          <w:marLeft w:val="1166"/>
          <w:marRight w:val="0"/>
          <w:marTop w:val="86"/>
          <w:marBottom w:val="0"/>
          <w:divBdr>
            <w:top w:val="none" w:sz="0" w:space="0" w:color="auto"/>
            <w:left w:val="none" w:sz="0" w:space="0" w:color="auto"/>
            <w:bottom w:val="none" w:sz="0" w:space="0" w:color="auto"/>
            <w:right w:val="none" w:sz="0" w:space="0" w:color="auto"/>
          </w:divBdr>
        </w:div>
        <w:div w:id="1553269591">
          <w:marLeft w:val="1166"/>
          <w:marRight w:val="0"/>
          <w:marTop w:val="86"/>
          <w:marBottom w:val="0"/>
          <w:divBdr>
            <w:top w:val="none" w:sz="0" w:space="0" w:color="auto"/>
            <w:left w:val="none" w:sz="0" w:space="0" w:color="auto"/>
            <w:bottom w:val="none" w:sz="0" w:space="0" w:color="auto"/>
            <w:right w:val="none" w:sz="0" w:space="0" w:color="auto"/>
          </w:divBdr>
        </w:div>
        <w:div w:id="1991592450">
          <w:marLeft w:val="1166"/>
          <w:marRight w:val="0"/>
          <w:marTop w:val="86"/>
          <w:marBottom w:val="0"/>
          <w:divBdr>
            <w:top w:val="none" w:sz="0" w:space="0" w:color="auto"/>
            <w:left w:val="none" w:sz="0" w:space="0" w:color="auto"/>
            <w:bottom w:val="none" w:sz="0" w:space="0" w:color="auto"/>
            <w:right w:val="none" w:sz="0" w:space="0" w:color="auto"/>
          </w:divBdr>
        </w:div>
      </w:divsChild>
    </w:div>
    <w:div w:id="258216962">
      <w:bodyDiv w:val="1"/>
      <w:marLeft w:val="0"/>
      <w:marRight w:val="0"/>
      <w:marTop w:val="0"/>
      <w:marBottom w:val="0"/>
      <w:divBdr>
        <w:top w:val="none" w:sz="0" w:space="0" w:color="auto"/>
        <w:left w:val="none" w:sz="0" w:space="0" w:color="auto"/>
        <w:bottom w:val="none" w:sz="0" w:space="0" w:color="auto"/>
        <w:right w:val="none" w:sz="0" w:space="0" w:color="auto"/>
      </w:divBdr>
      <w:divsChild>
        <w:div w:id="898900921">
          <w:marLeft w:val="1800"/>
          <w:marRight w:val="0"/>
          <w:marTop w:val="77"/>
          <w:marBottom w:val="0"/>
          <w:divBdr>
            <w:top w:val="none" w:sz="0" w:space="0" w:color="auto"/>
            <w:left w:val="none" w:sz="0" w:space="0" w:color="auto"/>
            <w:bottom w:val="none" w:sz="0" w:space="0" w:color="auto"/>
            <w:right w:val="none" w:sz="0" w:space="0" w:color="auto"/>
          </w:divBdr>
        </w:div>
        <w:div w:id="1427457234">
          <w:marLeft w:val="1800"/>
          <w:marRight w:val="0"/>
          <w:marTop w:val="77"/>
          <w:marBottom w:val="0"/>
          <w:divBdr>
            <w:top w:val="none" w:sz="0" w:space="0" w:color="auto"/>
            <w:left w:val="none" w:sz="0" w:space="0" w:color="auto"/>
            <w:bottom w:val="none" w:sz="0" w:space="0" w:color="auto"/>
            <w:right w:val="none" w:sz="0" w:space="0" w:color="auto"/>
          </w:divBdr>
        </w:div>
        <w:div w:id="1649238629">
          <w:marLeft w:val="1800"/>
          <w:marRight w:val="0"/>
          <w:marTop w:val="77"/>
          <w:marBottom w:val="0"/>
          <w:divBdr>
            <w:top w:val="none" w:sz="0" w:space="0" w:color="auto"/>
            <w:left w:val="none" w:sz="0" w:space="0" w:color="auto"/>
            <w:bottom w:val="none" w:sz="0" w:space="0" w:color="auto"/>
            <w:right w:val="none" w:sz="0" w:space="0" w:color="auto"/>
          </w:divBdr>
        </w:div>
        <w:div w:id="1944799319">
          <w:marLeft w:val="1166"/>
          <w:marRight w:val="0"/>
          <w:marTop w:val="8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69365">
      <w:bodyDiv w:val="1"/>
      <w:marLeft w:val="0"/>
      <w:marRight w:val="0"/>
      <w:marTop w:val="0"/>
      <w:marBottom w:val="0"/>
      <w:divBdr>
        <w:top w:val="none" w:sz="0" w:space="0" w:color="auto"/>
        <w:left w:val="none" w:sz="0" w:space="0" w:color="auto"/>
        <w:bottom w:val="none" w:sz="0" w:space="0" w:color="auto"/>
        <w:right w:val="none" w:sz="0" w:space="0" w:color="auto"/>
      </w:divBdr>
      <w:divsChild>
        <w:div w:id="1131049649">
          <w:marLeft w:val="547"/>
          <w:marRight w:val="0"/>
          <w:marTop w:val="96"/>
          <w:marBottom w:val="0"/>
          <w:divBdr>
            <w:top w:val="none" w:sz="0" w:space="0" w:color="auto"/>
            <w:left w:val="none" w:sz="0" w:space="0" w:color="auto"/>
            <w:bottom w:val="none" w:sz="0" w:space="0" w:color="auto"/>
            <w:right w:val="none" w:sz="0" w:space="0" w:color="auto"/>
          </w:divBdr>
        </w:div>
        <w:div w:id="1141271923">
          <w:marLeft w:val="547"/>
          <w:marRight w:val="0"/>
          <w:marTop w:val="96"/>
          <w:marBottom w:val="0"/>
          <w:divBdr>
            <w:top w:val="none" w:sz="0" w:space="0" w:color="auto"/>
            <w:left w:val="none" w:sz="0" w:space="0" w:color="auto"/>
            <w:bottom w:val="none" w:sz="0" w:space="0" w:color="auto"/>
            <w:right w:val="none" w:sz="0" w:space="0" w:color="auto"/>
          </w:divBdr>
        </w:div>
        <w:div w:id="1379817891">
          <w:marLeft w:val="547"/>
          <w:marRight w:val="0"/>
          <w:marTop w:val="96"/>
          <w:marBottom w:val="0"/>
          <w:divBdr>
            <w:top w:val="none" w:sz="0" w:space="0" w:color="auto"/>
            <w:left w:val="none" w:sz="0" w:space="0" w:color="auto"/>
            <w:bottom w:val="none" w:sz="0" w:space="0" w:color="auto"/>
            <w:right w:val="none" w:sz="0" w:space="0" w:color="auto"/>
          </w:divBdr>
        </w:div>
        <w:div w:id="1716730320">
          <w:marLeft w:val="547"/>
          <w:marRight w:val="0"/>
          <w:marTop w:val="96"/>
          <w:marBottom w:val="0"/>
          <w:divBdr>
            <w:top w:val="none" w:sz="0" w:space="0" w:color="auto"/>
            <w:left w:val="none" w:sz="0" w:space="0" w:color="auto"/>
            <w:bottom w:val="none" w:sz="0" w:space="0" w:color="auto"/>
            <w:right w:val="none" w:sz="0" w:space="0" w:color="auto"/>
          </w:divBdr>
        </w:div>
        <w:div w:id="1895770228">
          <w:marLeft w:val="1166"/>
          <w:marRight w:val="0"/>
          <w:marTop w:val="86"/>
          <w:marBottom w:val="0"/>
          <w:divBdr>
            <w:top w:val="none" w:sz="0" w:space="0" w:color="auto"/>
            <w:left w:val="none" w:sz="0" w:space="0" w:color="auto"/>
            <w:bottom w:val="none" w:sz="0" w:space="0" w:color="auto"/>
            <w:right w:val="none" w:sz="0" w:space="0" w:color="auto"/>
          </w:divBdr>
        </w:div>
        <w:div w:id="2001619692">
          <w:marLeft w:val="1166"/>
          <w:marRight w:val="0"/>
          <w:marTop w:val="86"/>
          <w:marBottom w:val="0"/>
          <w:divBdr>
            <w:top w:val="none" w:sz="0" w:space="0" w:color="auto"/>
            <w:left w:val="none" w:sz="0" w:space="0" w:color="auto"/>
            <w:bottom w:val="none" w:sz="0" w:space="0" w:color="auto"/>
            <w:right w:val="none" w:sz="0" w:space="0" w:color="auto"/>
          </w:divBdr>
        </w:div>
        <w:div w:id="2046249597">
          <w:marLeft w:val="547"/>
          <w:marRight w:val="0"/>
          <w:marTop w:val="96"/>
          <w:marBottom w:val="0"/>
          <w:divBdr>
            <w:top w:val="none" w:sz="0" w:space="0" w:color="auto"/>
            <w:left w:val="none" w:sz="0" w:space="0" w:color="auto"/>
            <w:bottom w:val="none" w:sz="0" w:space="0" w:color="auto"/>
            <w:right w:val="none" w:sz="0" w:space="0" w:color="auto"/>
          </w:divBdr>
        </w:div>
      </w:divsChild>
    </w:div>
    <w:div w:id="291792851">
      <w:bodyDiv w:val="1"/>
      <w:marLeft w:val="0"/>
      <w:marRight w:val="0"/>
      <w:marTop w:val="0"/>
      <w:marBottom w:val="0"/>
      <w:divBdr>
        <w:top w:val="none" w:sz="0" w:space="0" w:color="auto"/>
        <w:left w:val="none" w:sz="0" w:space="0" w:color="auto"/>
        <w:bottom w:val="none" w:sz="0" w:space="0" w:color="auto"/>
        <w:right w:val="none" w:sz="0" w:space="0" w:color="auto"/>
      </w:divBdr>
    </w:div>
    <w:div w:id="302127182">
      <w:bodyDiv w:val="1"/>
      <w:marLeft w:val="0"/>
      <w:marRight w:val="0"/>
      <w:marTop w:val="0"/>
      <w:marBottom w:val="0"/>
      <w:divBdr>
        <w:top w:val="none" w:sz="0" w:space="0" w:color="auto"/>
        <w:left w:val="none" w:sz="0" w:space="0" w:color="auto"/>
        <w:bottom w:val="none" w:sz="0" w:space="0" w:color="auto"/>
        <w:right w:val="none" w:sz="0" w:space="0" w:color="auto"/>
      </w:divBdr>
    </w:div>
    <w:div w:id="306516041">
      <w:bodyDiv w:val="1"/>
      <w:marLeft w:val="0"/>
      <w:marRight w:val="0"/>
      <w:marTop w:val="0"/>
      <w:marBottom w:val="0"/>
      <w:divBdr>
        <w:top w:val="none" w:sz="0" w:space="0" w:color="auto"/>
        <w:left w:val="none" w:sz="0" w:space="0" w:color="auto"/>
        <w:bottom w:val="none" w:sz="0" w:space="0" w:color="auto"/>
        <w:right w:val="none" w:sz="0" w:space="0" w:color="auto"/>
      </w:divBdr>
      <w:divsChild>
        <w:div w:id="98650579">
          <w:marLeft w:val="1800"/>
          <w:marRight w:val="0"/>
          <w:marTop w:val="77"/>
          <w:marBottom w:val="0"/>
          <w:divBdr>
            <w:top w:val="none" w:sz="0" w:space="0" w:color="auto"/>
            <w:left w:val="none" w:sz="0" w:space="0" w:color="auto"/>
            <w:bottom w:val="none" w:sz="0" w:space="0" w:color="auto"/>
            <w:right w:val="none" w:sz="0" w:space="0" w:color="auto"/>
          </w:divBdr>
        </w:div>
        <w:div w:id="114951366">
          <w:marLeft w:val="1166"/>
          <w:marRight w:val="0"/>
          <w:marTop w:val="86"/>
          <w:marBottom w:val="0"/>
          <w:divBdr>
            <w:top w:val="none" w:sz="0" w:space="0" w:color="auto"/>
            <w:left w:val="none" w:sz="0" w:space="0" w:color="auto"/>
            <w:bottom w:val="none" w:sz="0" w:space="0" w:color="auto"/>
            <w:right w:val="none" w:sz="0" w:space="0" w:color="auto"/>
          </w:divBdr>
        </w:div>
        <w:div w:id="441582616">
          <w:marLeft w:val="1166"/>
          <w:marRight w:val="0"/>
          <w:marTop w:val="86"/>
          <w:marBottom w:val="0"/>
          <w:divBdr>
            <w:top w:val="none" w:sz="0" w:space="0" w:color="auto"/>
            <w:left w:val="none" w:sz="0" w:space="0" w:color="auto"/>
            <w:bottom w:val="none" w:sz="0" w:space="0" w:color="auto"/>
            <w:right w:val="none" w:sz="0" w:space="0" w:color="auto"/>
          </w:divBdr>
        </w:div>
        <w:div w:id="447353840">
          <w:marLeft w:val="1166"/>
          <w:marRight w:val="0"/>
          <w:marTop w:val="86"/>
          <w:marBottom w:val="0"/>
          <w:divBdr>
            <w:top w:val="none" w:sz="0" w:space="0" w:color="auto"/>
            <w:left w:val="none" w:sz="0" w:space="0" w:color="auto"/>
            <w:bottom w:val="none" w:sz="0" w:space="0" w:color="auto"/>
            <w:right w:val="none" w:sz="0" w:space="0" w:color="auto"/>
          </w:divBdr>
        </w:div>
        <w:div w:id="494995791">
          <w:marLeft w:val="547"/>
          <w:marRight w:val="0"/>
          <w:marTop w:val="96"/>
          <w:marBottom w:val="0"/>
          <w:divBdr>
            <w:top w:val="none" w:sz="0" w:space="0" w:color="auto"/>
            <w:left w:val="none" w:sz="0" w:space="0" w:color="auto"/>
            <w:bottom w:val="none" w:sz="0" w:space="0" w:color="auto"/>
            <w:right w:val="none" w:sz="0" w:space="0" w:color="auto"/>
          </w:divBdr>
        </w:div>
        <w:div w:id="822085724">
          <w:marLeft w:val="547"/>
          <w:marRight w:val="0"/>
          <w:marTop w:val="96"/>
          <w:marBottom w:val="0"/>
          <w:divBdr>
            <w:top w:val="none" w:sz="0" w:space="0" w:color="auto"/>
            <w:left w:val="none" w:sz="0" w:space="0" w:color="auto"/>
            <w:bottom w:val="none" w:sz="0" w:space="0" w:color="auto"/>
            <w:right w:val="none" w:sz="0" w:space="0" w:color="auto"/>
          </w:divBdr>
        </w:div>
        <w:div w:id="1124234738">
          <w:marLeft w:val="1166"/>
          <w:marRight w:val="0"/>
          <w:marTop w:val="86"/>
          <w:marBottom w:val="0"/>
          <w:divBdr>
            <w:top w:val="none" w:sz="0" w:space="0" w:color="auto"/>
            <w:left w:val="none" w:sz="0" w:space="0" w:color="auto"/>
            <w:bottom w:val="none" w:sz="0" w:space="0" w:color="auto"/>
            <w:right w:val="none" w:sz="0" w:space="0" w:color="auto"/>
          </w:divBdr>
        </w:div>
        <w:div w:id="1655178241">
          <w:marLeft w:val="1800"/>
          <w:marRight w:val="0"/>
          <w:marTop w:val="77"/>
          <w:marBottom w:val="0"/>
          <w:divBdr>
            <w:top w:val="none" w:sz="0" w:space="0" w:color="auto"/>
            <w:left w:val="none" w:sz="0" w:space="0" w:color="auto"/>
            <w:bottom w:val="none" w:sz="0" w:space="0" w:color="auto"/>
            <w:right w:val="none" w:sz="0" w:space="0" w:color="auto"/>
          </w:divBdr>
        </w:div>
      </w:divsChild>
    </w:div>
    <w:div w:id="352997006">
      <w:bodyDiv w:val="1"/>
      <w:marLeft w:val="0"/>
      <w:marRight w:val="0"/>
      <w:marTop w:val="0"/>
      <w:marBottom w:val="0"/>
      <w:divBdr>
        <w:top w:val="none" w:sz="0" w:space="0" w:color="auto"/>
        <w:left w:val="none" w:sz="0" w:space="0" w:color="auto"/>
        <w:bottom w:val="none" w:sz="0" w:space="0" w:color="auto"/>
        <w:right w:val="none" w:sz="0" w:space="0" w:color="auto"/>
      </w:divBdr>
    </w:div>
    <w:div w:id="35615437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43713362">
      <w:bodyDiv w:val="1"/>
      <w:marLeft w:val="0"/>
      <w:marRight w:val="0"/>
      <w:marTop w:val="0"/>
      <w:marBottom w:val="0"/>
      <w:divBdr>
        <w:top w:val="none" w:sz="0" w:space="0" w:color="auto"/>
        <w:left w:val="none" w:sz="0" w:space="0" w:color="auto"/>
        <w:bottom w:val="none" w:sz="0" w:space="0" w:color="auto"/>
        <w:right w:val="none" w:sz="0" w:space="0" w:color="auto"/>
      </w:divBdr>
    </w:div>
    <w:div w:id="581377963">
      <w:bodyDiv w:val="1"/>
      <w:marLeft w:val="0"/>
      <w:marRight w:val="0"/>
      <w:marTop w:val="0"/>
      <w:marBottom w:val="0"/>
      <w:divBdr>
        <w:top w:val="none" w:sz="0" w:space="0" w:color="auto"/>
        <w:left w:val="none" w:sz="0" w:space="0" w:color="auto"/>
        <w:bottom w:val="none" w:sz="0" w:space="0" w:color="auto"/>
        <w:right w:val="none" w:sz="0" w:space="0" w:color="auto"/>
      </w:divBdr>
      <w:divsChild>
        <w:div w:id="52044671">
          <w:marLeft w:val="1166"/>
          <w:marRight w:val="0"/>
          <w:marTop w:val="86"/>
          <w:marBottom w:val="0"/>
          <w:divBdr>
            <w:top w:val="none" w:sz="0" w:space="0" w:color="auto"/>
            <w:left w:val="none" w:sz="0" w:space="0" w:color="auto"/>
            <w:bottom w:val="none" w:sz="0" w:space="0" w:color="auto"/>
            <w:right w:val="none" w:sz="0" w:space="0" w:color="auto"/>
          </w:divBdr>
        </w:div>
        <w:div w:id="98643734">
          <w:marLeft w:val="1166"/>
          <w:marRight w:val="0"/>
          <w:marTop w:val="86"/>
          <w:marBottom w:val="0"/>
          <w:divBdr>
            <w:top w:val="none" w:sz="0" w:space="0" w:color="auto"/>
            <w:left w:val="none" w:sz="0" w:space="0" w:color="auto"/>
            <w:bottom w:val="none" w:sz="0" w:space="0" w:color="auto"/>
            <w:right w:val="none" w:sz="0" w:space="0" w:color="auto"/>
          </w:divBdr>
        </w:div>
        <w:div w:id="206527395">
          <w:marLeft w:val="547"/>
          <w:marRight w:val="0"/>
          <w:marTop w:val="96"/>
          <w:marBottom w:val="0"/>
          <w:divBdr>
            <w:top w:val="none" w:sz="0" w:space="0" w:color="auto"/>
            <w:left w:val="none" w:sz="0" w:space="0" w:color="auto"/>
            <w:bottom w:val="none" w:sz="0" w:space="0" w:color="auto"/>
            <w:right w:val="none" w:sz="0" w:space="0" w:color="auto"/>
          </w:divBdr>
        </w:div>
        <w:div w:id="715741211">
          <w:marLeft w:val="547"/>
          <w:marRight w:val="0"/>
          <w:marTop w:val="96"/>
          <w:marBottom w:val="0"/>
          <w:divBdr>
            <w:top w:val="none" w:sz="0" w:space="0" w:color="auto"/>
            <w:left w:val="none" w:sz="0" w:space="0" w:color="auto"/>
            <w:bottom w:val="none" w:sz="0" w:space="0" w:color="auto"/>
            <w:right w:val="none" w:sz="0" w:space="0" w:color="auto"/>
          </w:divBdr>
        </w:div>
        <w:div w:id="1031342239">
          <w:marLeft w:val="1166"/>
          <w:marRight w:val="0"/>
          <w:marTop w:val="86"/>
          <w:marBottom w:val="0"/>
          <w:divBdr>
            <w:top w:val="none" w:sz="0" w:space="0" w:color="auto"/>
            <w:left w:val="none" w:sz="0" w:space="0" w:color="auto"/>
            <w:bottom w:val="none" w:sz="0" w:space="0" w:color="auto"/>
            <w:right w:val="none" w:sz="0" w:space="0" w:color="auto"/>
          </w:divBdr>
        </w:div>
        <w:div w:id="1065838832">
          <w:marLeft w:val="1166"/>
          <w:marRight w:val="0"/>
          <w:marTop w:val="86"/>
          <w:marBottom w:val="0"/>
          <w:divBdr>
            <w:top w:val="none" w:sz="0" w:space="0" w:color="auto"/>
            <w:left w:val="none" w:sz="0" w:space="0" w:color="auto"/>
            <w:bottom w:val="none" w:sz="0" w:space="0" w:color="auto"/>
            <w:right w:val="none" w:sz="0" w:space="0" w:color="auto"/>
          </w:divBdr>
        </w:div>
        <w:div w:id="1262839022">
          <w:marLeft w:val="1166"/>
          <w:marRight w:val="0"/>
          <w:marTop w:val="86"/>
          <w:marBottom w:val="0"/>
          <w:divBdr>
            <w:top w:val="none" w:sz="0" w:space="0" w:color="auto"/>
            <w:left w:val="none" w:sz="0" w:space="0" w:color="auto"/>
            <w:bottom w:val="none" w:sz="0" w:space="0" w:color="auto"/>
            <w:right w:val="none" w:sz="0" w:space="0" w:color="auto"/>
          </w:divBdr>
        </w:div>
        <w:div w:id="1780835309">
          <w:marLeft w:val="547"/>
          <w:marRight w:val="0"/>
          <w:marTop w:val="96"/>
          <w:marBottom w:val="0"/>
          <w:divBdr>
            <w:top w:val="none" w:sz="0" w:space="0" w:color="auto"/>
            <w:left w:val="none" w:sz="0" w:space="0" w:color="auto"/>
            <w:bottom w:val="none" w:sz="0" w:space="0" w:color="auto"/>
            <w:right w:val="none" w:sz="0" w:space="0" w:color="auto"/>
          </w:divBdr>
        </w:div>
        <w:div w:id="2016419131">
          <w:marLeft w:val="547"/>
          <w:marRight w:val="0"/>
          <w:marTop w:val="96"/>
          <w:marBottom w:val="0"/>
          <w:divBdr>
            <w:top w:val="none" w:sz="0" w:space="0" w:color="auto"/>
            <w:left w:val="none" w:sz="0" w:space="0" w:color="auto"/>
            <w:bottom w:val="none" w:sz="0" w:space="0" w:color="auto"/>
            <w:right w:val="none" w:sz="0" w:space="0" w:color="auto"/>
          </w:divBdr>
        </w:div>
      </w:divsChild>
    </w:div>
    <w:div w:id="592128018">
      <w:bodyDiv w:val="1"/>
      <w:marLeft w:val="0"/>
      <w:marRight w:val="0"/>
      <w:marTop w:val="0"/>
      <w:marBottom w:val="0"/>
      <w:divBdr>
        <w:top w:val="none" w:sz="0" w:space="0" w:color="auto"/>
        <w:left w:val="none" w:sz="0" w:space="0" w:color="auto"/>
        <w:bottom w:val="none" w:sz="0" w:space="0" w:color="auto"/>
        <w:right w:val="none" w:sz="0" w:space="0" w:color="auto"/>
      </w:divBdr>
      <w:divsChild>
        <w:div w:id="500631536">
          <w:marLeft w:val="547"/>
          <w:marRight w:val="0"/>
          <w:marTop w:val="96"/>
          <w:marBottom w:val="0"/>
          <w:divBdr>
            <w:top w:val="none" w:sz="0" w:space="0" w:color="auto"/>
            <w:left w:val="none" w:sz="0" w:space="0" w:color="auto"/>
            <w:bottom w:val="none" w:sz="0" w:space="0" w:color="auto"/>
            <w:right w:val="none" w:sz="0" w:space="0" w:color="auto"/>
          </w:divBdr>
        </w:div>
        <w:div w:id="1866090156">
          <w:marLeft w:val="1166"/>
          <w:marRight w:val="0"/>
          <w:marTop w:val="86"/>
          <w:marBottom w:val="0"/>
          <w:divBdr>
            <w:top w:val="none" w:sz="0" w:space="0" w:color="auto"/>
            <w:left w:val="none" w:sz="0" w:space="0" w:color="auto"/>
            <w:bottom w:val="none" w:sz="0" w:space="0" w:color="auto"/>
            <w:right w:val="none" w:sz="0" w:space="0" w:color="auto"/>
          </w:divBdr>
        </w:div>
        <w:div w:id="2020892246">
          <w:marLeft w:val="1800"/>
          <w:marRight w:val="0"/>
          <w:marTop w:val="77"/>
          <w:marBottom w:val="0"/>
          <w:divBdr>
            <w:top w:val="none" w:sz="0" w:space="0" w:color="auto"/>
            <w:left w:val="none" w:sz="0" w:space="0" w:color="auto"/>
            <w:bottom w:val="none" w:sz="0" w:space="0" w:color="auto"/>
            <w:right w:val="none" w:sz="0" w:space="0" w:color="auto"/>
          </w:divBdr>
        </w:div>
      </w:divsChild>
    </w:div>
    <w:div w:id="597759078">
      <w:bodyDiv w:val="1"/>
      <w:marLeft w:val="0"/>
      <w:marRight w:val="0"/>
      <w:marTop w:val="0"/>
      <w:marBottom w:val="0"/>
      <w:divBdr>
        <w:top w:val="none" w:sz="0" w:space="0" w:color="auto"/>
        <w:left w:val="none" w:sz="0" w:space="0" w:color="auto"/>
        <w:bottom w:val="none" w:sz="0" w:space="0" w:color="auto"/>
        <w:right w:val="none" w:sz="0" w:space="0" w:color="auto"/>
      </w:divBdr>
      <w:divsChild>
        <w:div w:id="112671196">
          <w:marLeft w:val="1800"/>
          <w:marRight w:val="0"/>
          <w:marTop w:val="77"/>
          <w:marBottom w:val="0"/>
          <w:divBdr>
            <w:top w:val="none" w:sz="0" w:space="0" w:color="auto"/>
            <w:left w:val="none" w:sz="0" w:space="0" w:color="auto"/>
            <w:bottom w:val="none" w:sz="0" w:space="0" w:color="auto"/>
            <w:right w:val="none" w:sz="0" w:space="0" w:color="auto"/>
          </w:divBdr>
        </w:div>
        <w:div w:id="200244647">
          <w:marLeft w:val="1800"/>
          <w:marRight w:val="0"/>
          <w:marTop w:val="77"/>
          <w:marBottom w:val="0"/>
          <w:divBdr>
            <w:top w:val="none" w:sz="0" w:space="0" w:color="auto"/>
            <w:left w:val="none" w:sz="0" w:space="0" w:color="auto"/>
            <w:bottom w:val="none" w:sz="0" w:space="0" w:color="auto"/>
            <w:right w:val="none" w:sz="0" w:space="0" w:color="auto"/>
          </w:divBdr>
        </w:div>
        <w:div w:id="501042872">
          <w:marLeft w:val="1166"/>
          <w:marRight w:val="0"/>
          <w:marTop w:val="86"/>
          <w:marBottom w:val="0"/>
          <w:divBdr>
            <w:top w:val="none" w:sz="0" w:space="0" w:color="auto"/>
            <w:left w:val="none" w:sz="0" w:space="0" w:color="auto"/>
            <w:bottom w:val="none" w:sz="0" w:space="0" w:color="auto"/>
            <w:right w:val="none" w:sz="0" w:space="0" w:color="auto"/>
          </w:divBdr>
        </w:div>
        <w:div w:id="767703500">
          <w:marLeft w:val="1166"/>
          <w:marRight w:val="0"/>
          <w:marTop w:val="86"/>
          <w:marBottom w:val="0"/>
          <w:divBdr>
            <w:top w:val="none" w:sz="0" w:space="0" w:color="auto"/>
            <w:left w:val="none" w:sz="0" w:space="0" w:color="auto"/>
            <w:bottom w:val="none" w:sz="0" w:space="0" w:color="auto"/>
            <w:right w:val="none" w:sz="0" w:space="0" w:color="auto"/>
          </w:divBdr>
        </w:div>
        <w:div w:id="884490609">
          <w:marLeft w:val="547"/>
          <w:marRight w:val="0"/>
          <w:marTop w:val="96"/>
          <w:marBottom w:val="0"/>
          <w:divBdr>
            <w:top w:val="none" w:sz="0" w:space="0" w:color="auto"/>
            <w:left w:val="none" w:sz="0" w:space="0" w:color="auto"/>
            <w:bottom w:val="none" w:sz="0" w:space="0" w:color="auto"/>
            <w:right w:val="none" w:sz="0" w:space="0" w:color="auto"/>
          </w:divBdr>
        </w:div>
        <w:div w:id="963315678">
          <w:marLeft w:val="1166"/>
          <w:marRight w:val="0"/>
          <w:marTop w:val="86"/>
          <w:marBottom w:val="0"/>
          <w:divBdr>
            <w:top w:val="none" w:sz="0" w:space="0" w:color="auto"/>
            <w:left w:val="none" w:sz="0" w:space="0" w:color="auto"/>
            <w:bottom w:val="none" w:sz="0" w:space="0" w:color="auto"/>
            <w:right w:val="none" w:sz="0" w:space="0" w:color="auto"/>
          </w:divBdr>
        </w:div>
        <w:div w:id="1078475492">
          <w:marLeft w:val="1166"/>
          <w:marRight w:val="0"/>
          <w:marTop w:val="86"/>
          <w:marBottom w:val="0"/>
          <w:divBdr>
            <w:top w:val="none" w:sz="0" w:space="0" w:color="auto"/>
            <w:left w:val="none" w:sz="0" w:space="0" w:color="auto"/>
            <w:bottom w:val="none" w:sz="0" w:space="0" w:color="auto"/>
            <w:right w:val="none" w:sz="0" w:space="0" w:color="auto"/>
          </w:divBdr>
        </w:div>
        <w:div w:id="1117019777">
          <w:marLeft w:val="1166"/>
          <w:marRight w:val="0"/>
          <w:marTop w:val="86"/>
          <w:marBottom w:val="0"/>
          <w:divBdr>
            <w:top w:val="none" w:sz="0" w:space="0" w:color="auto"/>
            <w:left w:val="none" w:sz="0" w:space="0" w:color="auto"/>
            <w:bottom w:val="none" w:sz="0" w:space="0" w:color="auto"/>
            <w:right w:val="none" w:sz="0" w:space="0" w:color="auto"/>
          </w:divBdr>
        </w:div>
        <w:div w:id="1221863481">
          <w:marLeft w:val="1166"/>
          <w:marRight w:val="0"/>
          <w:marTop w:val="86"/>
          <w:marBottom w:val="0"/>
          <w:divBdr>
            <w:top w:val="none" w:sz="0" w:space="0" w:color="auto"/>
            <w:left w:val="none" w:sz="0" w:space="0" w:color="auto"/>
            <w:bottom w:val="none" w:sz="0" w:space="0" w:color="auto"/>
            <w:right w:val="none" w:sz="0" w:space="0" w:color="auto"/>
          </w:divBdr>
        </w:div>
        <w:div w:id="2130272030">
          <w:marLeft w:val="547"/>
          <w:marRight w:val="0"/>
          <w:marTop w:val="96"/>
          <w:marBottom w:val="0"/>
          <w:divBdr>
            <w:top w:val="none" w:sz="0" w:space="0" w:color="auto"/>
            <w:left w:val="none" w:sz="0" w:space="0" w:color="auto"/>
            <w:bottom w:val="none" w:sz="0" w:space="0" w:color="auto"/>
            <w:right w:val="none" w:sz="0" w:space="0" w:color="auto"/>
          </w:divBdr>
        </w:div>
      </w:divsChild>
    </w:div>
    <w:div w:id="645086146">
      <w:bodyDiv w:val="1"/>
      <w:marLeft w:val="0"/>
      <w:marRight w:val="0"/>
      <w:marTop w:val="0"/>
      <w:marBottom w:val="0"/>
      <w:divBdr>
        <w:top w:val="none" w:sz="0" w:space="0" w:color="auto"/>
        <w:left w:val="none" w:sz="0" w:space="0" w:color="auto"/>
        <w:bottom w:val="none" w:sz="0" w:space="0" w:color="auto"/>
        <w:right w:val="none" w:sz="0" w:space="0" w:color="auto"/>
      </w:divBdr>
      <w:divsChild>
        <w:div w:id="415245302">
          <w:marLeft w:val="547"/>
          <w:marRight w:val="0"/>
          <w:marTop w:val="96"/>
          <w:marBottom w:val="0"/>
          <w:divBdr>
            <w:top w:val="none" w:sz="0" w:space="0" w:color="auto"/>
            <w:left w:val="none" w:sz="0" w:space="0" w:color="auto"/>
            <w:bottom w:val="none" w:sz="0" w:space="0" w:color="auto"/>
            <w:right w:val="none" w:sz="0" w:space="0" w:color="auto"/>
          </w:divBdr>
        </w:div>
      </w:divsChild>
    </w:div>
    <w:div w:id="682559921">
      <w:bodyDiv w:val="1"/>
      <w:marLeft w:val="0"/>
      <w:marRight w:val="0"/>
      <w:marTop w:val="0"/>
      <w:marBottom w:val="0"/>
      <w:divBdr>
        <w:top w:val="none" w:sz="0" w:space="0" w:color="auto"/>
        <w:left w:val="none" w:sz="0" w:space="0" w:color="auto"/>
        <w:bottom w:val="none" w:sz="0" w:space="0" w:color="auto"/>
        <w:right w:val="none" w:sz="0" w:space="0" w:color="auto"/>
      </w:divBdr>
      <w:divsChild>
        <w:div w:id="363868876">
          <w:marLeft w:val="1166"/>
          <w:marRight w:val="0"/>
          <w:marTop w:val="86"/>
          <w:marBottom w:val="0"/>
          <w:divBdr>
            <w:top w:val="none" w:sz="0" w:space="0" w:color="auto"/>
            <w:left w:val="none" w:sz="0" w:space="0" w:color="auto"/>
            <w:bottom w:val="none" w:sz="0" w:space="0" w:color="auto"/>
            <w:right w:val="none" w:sz="0" w:space="0" w:color="auto"/>
          </w:divBdr>
        </w:div>
        <w:div w:id="745148114">
          <w:marLeft w:val="1166"/>
          <w:marRight w:val="0"/>
          <w:marTop w:val="86"/>
          <w:marBottom w:val="0"/>
          <w:divBdr>
            <w:top w:val="none" w:sz="0" w:space="0" w:color="auto"/>
            <w:left w:val="none" w:sz="0" w:space="0" w:color="auto"/>
            <w:bottom w:val="none" w:sz="0" w:space="0" w:color="auto"/>
            <w:right w:val="none" w:sz="0" w:space="0" w:color="auto"/>
          </w:divBdr>
        </w:div>
        <w:div w:id="1435899124">
          <w:marLeft w:val="1800"/>
          <w:marRight w:val="0"/>
          <w:marTop w:val="77"/>
          <w:marBottom w:val="0"/>
          <w:divBdr>
            <w:top w:val="none" w:sz="0" w:space="0" w:color="auto"/>
            <w:left w:val="none" w:sz="0" w:space="0" w:color="auto"/>
            <w:bottom w:val="none" w:sz="0" w:space="0" w:color="auto"/>
            <w:right w:val="none" w:sz="0" w:space="0" w:color="auto"/>
          </w:divBdr>
        </w:div>
        <w:div w:id="1932082789">
          <w:marLeft w:val="547"/>
          <w:marRight w:val="0"/>
          <w:marTop w:val="96"/>
          <w:marBottom w:val="0"/>
          <w:divBdr>
            <w:top w:val="none" w:sz="0" w:space="0" w:color="auto"/>
            <w:left w:val="none" w:sz="0" w:space="0" w:color="auto"/>
            <w:bottom w:val="none" w:sz="0" w:space="0" w:color="auto"/>
            <w:right w:val="none" w:sz="0" w:space="0" w:color="auto"/>
          </w:divBdr>
        </w:div>
        <w:div w:id="1937983895">
          <w:marLeft w:val="1800"/>
          <w:marRight w:val="0"/>
          <w:marTop w:val="77"/>
          <w:marBottom w:val="0"/>
          <w:divBdr>
            <w:top w:val="none" w:sz="0" w:space="0" w:color="auto"/>
            <w:left w:val="none" w:sz="0" w:space="0" w:color="auto"/>
            <w:bottom w:val="none" w:sz="0" w:space="0" w:color="auto"/>
            <w:right w:val="none" w:sz="0" w:space="0" w:color="auto"/>
          </w:divBdr>
        </w:div>
      </w:divsChild>
    </w:div>
    <w:div w:id="688290935">
      <w:bodyDiv w:val="1"/>
      <w:marLeft w:val="0"/>
      <w:marRight w:val="0"/>
      <w:marTop w:val="0"/>
      <w:marBottom w:val="0"/>
      <w:divBdr>
        <w:top w:val="none" w:sz="0" w:space="0" w:color="auto"/>
        <w:left w:val="none" w:sz="0" w:space="0" w:color="auto"/>
        <w:bottom w:val="none" w:sz="0" w:space="0" w:color="auto"/>
        <w:right w:val="none" w:sz="0" w:space="0" w:color="auto"/>
      </w:divBdr>
      <w:divsChild>
        <w:div w:id="861669724">
          <w:marLeft w:val="1166"/>
          <w:marRight w:val="0"/>
          <w:marTop w:val="86"/>
          <w:marBottom w:val="0"/>
          <w:divBdr>
            <w:top w:val="none" w:sz="0" w:space="0" w:color="auto"/>
            <w:left w:val="none" w:sz="0" w:space="0" w:color="auto"/>
            <w:bottom w:val="none" w:sz="0" w:space="0" w:color="auto"/>
            <w:right w:val="none" w:sz="0" w:space="0" w:color="auto"/>
          </w:divBdr>
        </w:div>
        <w:div w:id="893615477">
          <w:marLeft w:val="1166"/>
          <w:marRight w:val="0"/>
          <w:marTop w:val="86"/>
          <w:marBottom w:val="0"/>
          <w:divBdr>
            <w:top w:val="none" w:sz="0" w:space="0" w:color="auto"/>
            <w:left w:val="none" w:sz="0" w:space="0" w:color="auto"/>
            <w:bottom w:val="none" w:sz="0" w:space="0" w:color="auto"/>
            <w:right w:val="none" w:sz="0" w:space="0" w:color="auto"/>
          </w:divBdr>
        </w:div>
        <w:div w:id="1268733587">
          <w:marLeft w:val="547"/>
          <w:marRight w:val="0"/>
          <w:marTop w:val="96"/>
          <w:marBottom w:val="0"/>
          <w:divBdr>
            <w:top w:val="none" w:sz="0" w:space="0" w:color="auto"/>
            <w:left w:val="none" w:sz="0" w:space="0" w:color="auto"/>
            <w:bottom w:val="none" w:sz="0" w:space="0" w:color="auto"/>
            <w:right w:val="none" w:sz="0" w:space="0" w:color="auto"/>
          </w:divBdr>
        </w:div>
        <w:div w:id="1389452187">
          <w:marLeft w:val="547"/>
          <w:marRight w:val="0"/>
          <w:marTop w:val="96"/>
          <w:marBottom w:val="0"/>
          <w:divBdr>
            <w:top w:val="none" w:sz="0" w:space="0" w:color="auto"/>
            <w:left w:val="none" w:sz="0" w:space="0" w:color="auto"/>
            <w:bottom w:val="none" w:sz="0" w:space="0" w:color="auto"/>
            <w:right w:val="none" w:sz="0" w:space="0" w:color="auto"/>
          </w:divBdr>
        </w:div>
        <w:div w:id="1632201231">
          <w:marLeft w:val="1166"/>
          <w:marRight w:val="0"/>
          <w:marTop w:val="86"/>
          <w:marBottom w:val="0"/>
          <w:divBdr>
            <w:top w:val="none" w:sz="0" w:space="0" w:color="auto"/>
            <w:left w:val="none" w:sz="0" w:space="0" w:color="auto"/>
            <w:bottom w:val="none" w:sz="0" w:space="0" w:color="auto"/>
            <w:right w:val="none" w:sz="0" w:space="0" w:color="auto"/>
          </w:divBdr>
        </w:div>
        <w:div w:id="1780951339">
          <w:marLeft w:val="1166"/>
          <w:marRight w:val="0"/>
          <w:marTop w:val="86"/>
          <w:marBottom w:val="0"/>
          <w:divBdr>
            <w:top w:val="none" w:sz="0" w:space="0" w:color="auto"/>
            <w:left w:val="none" w:sz="0" w:space="0" w:color="auto"/>
            <w:bottom w:val="none" w:sz="0" w:space="0" w:color="auto"/>
            <w:right w:val="none" w:sz="0" w:space="0" w:color="auto"/>
          </w:divBdr>
        </w:div>
        <w:div w:id="1967740291">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3082187">
      <w:bodyDiv w:val="1"/>
      <w:marLeft w:val="0"/>
      <w:marRight w:val="0"/>
      <w:marTop w:val="0"/>
      <w:marBottom w:val="0"/>
      <w:divBdr>
        <w:top w:val="none" w:sz="0" w:space="0" w:color="auto"/>
        <w:left w:val="none" w:sz="0" w:space="0" w:color="auto"/>
        <w:bottom w:val="none" w:sz="0" w:space="0" w:color="auto"/>
        <w:right w:val="none" w:sz="0" w:space="0" w:color="auto"/>
      </w:divBdr>
      <w:divsChild>
        <w:div w:id="351808929">
          <w:marLeft w:val="1800"/>
          <w:marRight w:val="0"/>
          <w:marTop w:val="77"/>
          <w:marBottom w:val="0"/>
          <w:divBdr>
            <w:top w:val="none" w:sz="0" w:space="0" w:color="auto"/>
            <w:left w:val="none" w:sz="0" w:space="0" w:color="auto"/>
            <w:bottom w:val="none" w:sz="0" w:space="0" w:color="auto"/>
            <w:right w:val="none" w:sz="0" w:space="0" w:color="auto"/>
          </w:divBdr>
        </w:div>
        <w:div w:id="374426935">
          <w:marLeft w:val="547"/>
          <w:marRight w:val="0"/>
          <w:marTop w:val="96"/>
          <w:marBottom w:val="0"/>
          <w:divBdr>
            <w:top w:val="none" w:sz="0" w:space="0" w:color="auto"/>
            <w:left w:val="none" w:sz="0" w:space="0" w:color="auto"/>
            <w:bottom w:val="none" w:sz="0" w:space="0" w:color="auto"/>
            <w:right w:val="none" w:sz="0" w:space="0" w:color="auto"/>
          </w:divBdr>
        </w:div>
        <w:div w:id="572354108">
          <w:marLeft w:val="1166"/>
          <w:marRight w:val="0"/>
          <w:marTop w:val="86"/>
          <w:marBottom w:val="0"/>
          <w:divBdr>
            <w:top w:val="none" w:sz="0" w:space="0" w:color="auto"/>
            <w:left w:val="none" w:sz="0" w:space="0" w:color="auto"/>
            <w:bottom w:val="none" w:sz="0" w:space="0" w:color="auto"/>
            <w:right w:val="none" w:sz="0" w:space="0" w:color="auto"/>
          </w:divBdr>
        </w:div>
        <w:div w:id="1158570441">
          <w:marLeft w:val="1800"/>
          <w:marRight w:val="0"/>
          <w:marTop w:val="77"/>
          <w:marBottom w:val="0"/>
          <w:divBdr>
            <w:top w:val="none" w:sz="0" w:space="0" w:color="auto"/>
            <w:left w:val="none" w:sz="0" w:space="0" w:color="auto"/>
            <w:bottom w:val="none" w:sz="0" w:space="0" w:color="auto"/>
            <w:right w:val="none" w:sz="0" w:space="0" w:color="auto"/>
          </w:divBdr>
        </w:div>
        <w:div w:id="1871601706">
          <w:marLeft w:val="1166"/>
          <w:marRight w:val="0"/>
          <w:marTop w:val="86"/>
          <w:marBottom w:val="0"/>
          <w:divBdr>
            <w:top w:val="none" w:sz="0" w:space="0" w:color="auto"/>
            <w:left w:val="none" w:sz="0" w:space="0" w:color="auto"/>
            <w:bottom w:val="none" w:sz="0" w:space="0" w:color="auto"/>
            <w:right w:val="none" w:sz="0" w:space="0" w:color="auto"/>
          </w:divBdr>
        </w:div>
      </w:divsChild>
    </w:div>
    <w:div w:id="852181065">
      <w:bodyDiv w:val="1"/>
      <w:marLeft w:val="0"/>
      <w:marRight w:val="0"/>
      <w:marTop w:val="0"/>
      <w:marBottom w:val="0"/>
      <w:divBdr>
        <w:top w:val="none" w:sz="0" w:space="0" w:color="auto"/>
        <w:left w:val="none" w:sz="0" w:space="0" w:color="auto"/>
        <w:bottom w:val="none" w:sz="0" w:space="0" w:color="auto"/>
        <w:right w:val="none" w:sz="0" w:space="0" w:color="auto"/>
      </w:divBdr>
      <w:divsChild>
        <w:div w:id="149291588">
          <w:marLeft w:val="1800"/>
          <w:marRight w:val="0"/>
          <w:marTop w:val="77"/>
          <w:marBottom w:val="0"/>
          <w:divBdr>
            <w:top w:val="none" w:sz="0" w:space="0" w:color="auto"/>
            <w:left w:val="none" w:sz="0" w:space="0" w:color="auto"/>
            <w:bottom w:val="none" w:sz="0" w:space="0" w:color="auto"/>
            <w:right w:val="none" w:sz="0" w:space="0" w:color="auto"/>
          </w:divBdr>
        </w:div>
        <w:div w:id="236866487">
          <w:marLeft w:val="1800"/>
          <w:marRight w:val="0"/>
          <w:marTop w:val="77"/>
          <w:marBottom w:val="0"/>
          <w:divBdr>
            <w:top w:val="none" w:sz="0" w:space="0" w:color="auto"/>
            <w:left w:val="none" w:sz="0" w:space="0" w:color="auto"/>
            <w:bottom w:val="none" w:sz="0" w:space="0" w:color="auto"/>
            <w:right w:val="none" w:sz="0" w:space="0" w:color="auto"/>
          </w:divBdr>
        </w:div>
        <w:div w:id="270629483">
          <w:marLeft w:val="1800"/>
          <w:marRight w:val="0"/>
          <w:marTop w:val="77"/>
          <w:marBottom w:val="0"/>
          <w:divBdr>
            <w:top w:val="none" w:sz="0" w:space="0" w:color="auto"/>
            <w:left w:val="none" w:sz="0" w:space="0" w:color="auto"/>
            <w:bottom w:val="none" w:sz="0" w:space="0" w:color="auto"/>
            <w:right w:val="none" w:sz="0" w:space="0" w:color="auto"/>
          </w:divBdr>
        </w:div>
        <w:div w:id="305210897">
          <w:marLeft w:val="547"/>
          <w:marRight w:val="0"/>
          <w:marTop w:val="96"/>
          <w:marBottom w:val="0"/>
          <w:divBdr>
            <w:top w:val="none" w:sz="0" w:space="0" w:color="auto"/>
            <w:left w:val="none" w:sz="0" w:space="0" w:color="auto"/>
            <w:bottom w:val="none" w:sz="0" w:space="0" w:color="auto"/>
            <w:right w:val="none" w:sz="0" w:space="0" w:color="auto"/>
          </w:divBdr>
        </w:div>
        <w:div w:id="344133400">
          <w:marLeft w:val="1800"/>
          <w:marRight w:val="0"/>
          <w:marTop w:val="77"/>
          <w:marBottom w:val="0"/>
          <w:divBdr>
            <w:top w:val="none" w:sz="0" w:space="0" w:color="auto"/>
            <w:left w:val="none" w:sz="0" w:space="0" w:color="auto"/>
            <w:bottom w:val="none" w:sz="0" w:space="0" w:color="auto"/>
            <w:right w:val="none" w:sz="0" w:space="0" w:color="auto"/>
          </w:divBdr>
        </w:div>
        <w:div w:id="730157674">
          <w:marLeft w:val="547"/>
          <w:marRight w:val="0"/>
          <w:marTop w:val="96"/>
          <w:marBottom w:val="0"/>
          <w:divBdr>
            <w:top w:val="none" w:sz="0" w:space="0" w:color="auto"/>
            <w:left w:val="none" w:sz="0" w:space="0" w:color="auto"/>
            <w:bottom w:val="none" w:sz="0" w:space="0" w:color="auto"/>
            <w:right w:val="none" w:sz="0" w:space="0" w:color="auto"/>
          </w:divBdr>
        </w:div>
        <w:div w:id="929124474">
          <w:marLeft w:val="1166"/>
          <w:marRight w:val="0"/>
          <w:marTop w:val="86"/>
          <w:marBottom w:val="0"/>
          <w:divBdr>
            <w:top w:val="none" w:sz="0" w:space="0" w:color="auto"/>
            <w:left w:val="none" w:sz="0" w:space="0" w:color="auto"/>
            <w:bottom w:val="none" w:sz="0" w:space="0" w:color="auto"/>
            <w:right w:val="none" w:sz="0" w:space="0" w:color="auto"/>
          </w:divBdr>
        </w:div>
        <w:div w:id="1337265588">
          <w:marLeft w:val="1166"/>
          <w:marRight w:val="0"/>
          <w:marTop w:val="86"/>
          <w:marBottom w:val="0"/>
          <w:divBdr>
            <w:top w:val="none" w:sz="0" w:space="0" w:color="auto"/>
            <w:left w:val="none" w:sz="0" w:space="0" w:color="auto"/>
            <w:bottom w:val="none" w:sz="0" w:space="0" w:color="auto"/>
            <w:right w:val="none" w:sz="0" w:space="0" w:color="auto"/>
          </w:divBdr>
        </w:div>
        <w:div w:id="1442070494">
          <w:marLeft w:val="1800"/>
          <w:marRight w:val="0"/>
          <w:marTop w:val="77"/>
          <w:marBottom w:val="0"/>
          <w:divBdr>
            <w:top w:val="none" w:sz="0" w:space="0" w:color="auto"/>
            <w:left w:val="none" w:sz="0" w:space="0" w:color="auto"/>
            <w:bottom w:val="none" w:sz="0" w:space="0" w:color="auto"/>
            <w:right w:val="none" w:sz="0" w:space="0" w:color="auto"/>
          </w:divBdr>
        </w:div>
        <w:div w:id="1542015518">
          <w:marLeft w:val="1166"/>
          <w:marRight w:val="0"/>
          <w:marTop w:val="86"/>
          <w:marBottom w:val="0"/>
          <w:divBdr>
            <w:top w:val="none" w:sz="0" w:space="0" w:color="auto"/>
            <w:left w:val="none" w:sz="0" w:space="0" w:color="auto"/>
            <w:bottom w:val="none" w:sz="0" w:space="0" w:color="auto"/>
            <w:right w:val="none" w:sz="0" w:space="0" w:color="auto"/>
          </w:divBdr>
        </w:div>
        <w:div w:id="1635405101">
          <w:marLeft w:val="1800"/>
          <w:marRight w:val="0"/>
          <w:marTop w:val="77"/>
          <w:marBottom w:val="0"/>
          <w:divBdr>
            <w:top w:val="none" w:sz="0" w:space="0" w:color="auto"/>
            <w:left w:val="none" w:sz="0" w:space="0" w:color="auto"/>
            <w:bottom w:val="none" w:sz="0" w:space="0" w:color="auto"/>
            <w:right w:val="none" w:sz="0" w:space="0" w:color="auto"/>
          </w:divBdr>
        </w:div>
        <w:div w:id="2124155613">
          <w:marLeft w:val="1166"/>
          <w:marRight w:val="0"/>
          <w:marTop w:val="86"/>
          <w:marBottom w:val="0"/>
          <w:divBdr>
            <w:top w:val="none" w:sz="0" w:space="0" w:color="auto"/>
            <w:left w:val="none" w:sz="0" w:space="0" w:color="auto"/>
            <w:bottom w:val="none" w:sz="0" w:space="0" w:color="auto"/>
            <w:right w:val="none" w:sz="0" w:space="0" w:color="auto"/>
          </w:divBdr>
        </w:div>
      </w:divsChild>
    </w:div>
    <w:div w:id="904534914">
      <w:bodyDiv w:val="1"/>
      <w:marLeft w:val="0"/>
      <w:marRight w:val="0"/>
      <w:marTop w:val="0"/>
      <w:marBottom w:val="0"/>
      <w:divBdr>
        <w:top w:val="none" w:sz="0" w:space="0" w:color="auto"/>
        <w:left w:val="none" w:sz="0" w:space="0" w:color="auto"/>
        <w:bottom w:val="none" w:sz="0" w:space="0" w:color="auto"/>
        <w:right w:val="none" w:sz="0" w:space="0" w:color="auto"/>
      </w:divBdr>
      <w:divsChild>
        <w:div w:id="1401487508">
          <w:marLeft w:val="1166"/>
          <w:marRight w:val="0"/>
          <w:marTop w:val="86"/>
          <w:marBottom w:val="0"/>
          <w:divBdr>
            <w:top w:val="none" w:sz="0" w:space="0" w:color="auto"/>
            <w:left w:val="none" w:sz="0" w:space="0" w:color="auto"/>
            <w:bottom w:val="none" w:sz="0" w:space="0" w:color="auto"/>
            <w:right w:val="none" w:sz="0" w:space="0" w:color="auto"/>
          </w:divBdr>
        </w:div>
        <w:div w:id="1621186689">
          <w:marLeft w:val="547"/>
          <w:marRight w:val="0"/>
          <w:marTop w:val="96"/>
          <w:marBottom w:val="0"/>
          <w:divBdr>
            <w:top w:val="none" w:sz="0" w:space="0" w:color="auto"/>
            <w:left w:val="none" w:sz="0" w:space="0" w:color="auto"/>
            <w:bottom w:val="none" w:sz="0" w:space="0" w:color="auto"/>
            <w:right w:val="none" w:sz="0" w:space="0" w:color="auto"/>
          </w:divBdr>
        </w:div>
      </w:divsChild>
    </w:div>
    <w:div w:id="922491522">
      <w:bodyDiv w:val="1"/>
      <w:marLeft w:val="0"/>
      <w:marRight w:val="0"/>
      <w:marTop w:val="0"/>
      <w:marBottom w:val="0"/>
      <w:divBdr>
        <w:top w:val="none" w:sz="0" w:space="0" w:color="auto"/>
        <w:left w:val="none" w:sz="0" w:space="0" w:color="auto"/>
        <w:bottom w:val="none" w:sz="0" w:space="0" w:color="auto"/>
        <w:right w:val="none" w:sz="0" w:space="0" w:color="auto"/>
      </w:divBdr>
      <w:divsChild>
        <w:div w:id="199056946">
          <w:marLeft w:val="1800"/>
          <w:marRight w:val="0"/>
          <w:marTop w:val="77"/>
          <w:marBottom w:val="0"/>
          <w:divBdr>
            <w:top w:val="none" w:sz="0" w:space="0" w:color="auto"/>
            <w:left w:val="none" w:sz="0" w:space="0" w:color="auto"/>
            <w:bottom w:val="none" w:sz="0" w:space="0" w:color="auto"/>
            <w:right w:val="none" w:sz="0" w:space="0" w:color="auto"/>
          </w:divBdr>
        </w:div>
        <w:div w:id="291593378">
          <w:marLeft w:val="1800"/>
          <w:marRight w:val="0"/>
          <w:marTop w:val="77"/>
          <w:marBottom w:val="0"/>
          <w:divBdr>
            <w:top w:val="none" w:sz="0" w:space="0" w:color="auto"/>
            <w:left w:val="none" w:sz="0" w:space="0" w:color="auto"/>
            <w:bottom w:val="none" w:sz="0" w:space="0" w:color="auto"/>
            <w:right w:val="none" w:sz="0" w:space="0" w:color="auto"/>
          </w:divBdr>
        </w:div>
        <w:div w:id="353071576">
          <w:marLeft w:val="547"/>
          <w:marRight w:val="0"/>
          <w:marTop w:val="96"/>
          <w:marBottom w:val="0"/>
          <w:divBdr>
            <w:top w:val="none" w:sz="0" w:space="0" w:color="auto"/>
            <w:left w:val="none" w:sz="0" w:space="0" w:color="auto"/>
            <w:bottom w:val="none" w:sz="0" w:space="0" w:color="auto"/>
            <w:right w:val="none" w:sz="0" w:space="0" w:color="auto"/>
          </w:divBdr>
        </w:div>
        <w:div w:id="703821978">
          <w:marLeft w:val="1800"/>
          <w:marRight w:val="0"/>
          <w:marTop w:val="77"/>
          <w:marBottom w:val="0"/>
          <w:divBdr>
            <w:top w:val="none" w:sz="0" w:space="0" w:color="auto"/>
            <w:left w:val="none" w:sz="0" w:space="0" w:color="auto"/>
            <w:bottom w:val="none" w:sz="0" w:space="0" w:color="auto"/>
            <w:right w:val="none" w:sz="0" w:space="0" w:color="auto"/>
          </w:divBdr>
        </w:div>
        <w:div w:id="757017663">
          <w:marLeft w:val="547"/>
          <w:marRight w:val="0"/>
          <w:marTop w:val="96"/>
          <w:marBottom w:val="0"/>
          <w:divBdr>
            <w:top w:val="none" w:sz="0" w:space="0" w:color="auto"/>
            <w:left w:val="none" w:sz="0" w:space="0" w:color="auto"/>
            <w:bottom w:val="none" w:sz="0" w:space="0" w:color="auto"/>
            <w:right w:val="none" w:sz="0" w:space="0" w:color="auto"/>
          </w:divBdr>
        </w:div>
        <w:div w:id="909922582">
          <w:marLeft w:val="1166"/>
          <w:marRight w:val="0"/>
          <w:marTop w:val="86"/>
          <w:marBottom w:val="0"/>
          <w:divBdr>
            <w:top w:val="none" w:sz="0" w:space="0" w:color="auto"/>
            <w:left w:val="none" w:sz="0" w:space="0" w:color="auto"/>
            <w:bottom w:val="none" w:sz="0" w:space="0" w:color="auto"/>
            <w:right w:val="none" w:sz="0" w:space="0" w:color="auto"/>
          </w:divBdr>
        </w:div>
        <w:div w:id="1284506274">
          <w:marLeft w:val="1166"/>
          <w:marRight w:val="0"/>
          <w:marTop w:val="86"/>
          <w:marBottom w:val="0"/>
          <w:divBdr>
            <w:top w:val="none" w:sz="0" w:space="0" w:color="auto"/>
            <w:left w:val="none" w:sz="0" w:space="0" w:color="auto"/>
            <w:bottom w:val="none" w:sz="0" w:space="0" w:color="auto"/>
            <w:right w:val="none" w:sz="0" w:space="0" w:color="auto"/>
          </w:divBdr>
        </w:div>
        <w:div w:id="1595743239">
          <w:marLeft w:val="1166"/>
          <w:marRight w:val="0"/>
          <w:marTop w:val="86"/>
          <w:marBottom w:val="0"/>
          <w:divBdr>
            <w:top w:val="none" w:sz="0" w:space="0" w:color="auto"/>
            <w:left w:val="none" w:sz="0" w:space="0" w:color="auto"/>
            <w:bottom w:val="none" w:sz="0" w:space="0" w:color="auto"/>
            <w:right w:val="none" w:sz="0" w:space="0" w:color="auto"/>
          </w:divBdr>
        </w:div>
        <w:div w:id="1831873150">
          <w:marLeft w:val="1166"/>
          <w:marRight w:val="0"/>
          <w:marTop w:val="86"/>
          <w:marBottom w:val="0"/>
          <w:divBdr>
            <w:top w:val="none" w:sz="0" w:space="0" w:color="auto"/>
            <w:left w:val="none" w:sz="0" w:space="0" w:color="auto"/>
            <w:bottom w:val="none" w:sz="0" w:space="0" w:color="auto"/>
            <w:right w:val="none" w:sz="0" w:space="0" w:color="auto"/>
          </w:divBdr>
        </w:div>
        <w:div w:id="2015984713">
          <w:marLeft w:val="1800"/>
          <w:marRight w:val="0"/>
          <w:marTop w:val="77"/>
          <w:marBottom w:val="0"/>
          <w:divBdr>
            <w:top w:val="none" w:sz="0" w:space="0" w:color="auto"/>
            <w:left w:val="none" w:sz="0" w:space="0" w:color="auto"/>
            <w:bottom w:val="none" w:sz="0" w:space="0" w:color="auto"/>
            <w:right w:val="none" w:sz="0" w:space="0" w:color="auto"/>
          </w:divBdr>
        </w:div>
        <w:div w:id="2076851409">
          <w:marLeft w:val="1166"/>
          <w:marRight w:val="0"/>
          <w:marTop w:val="86"/>
          <w:marBottom w:val="0"/>
          <w:divBdr>
            <w:top w:val="none" w:sz="0" w:space="0" w:color="auto"/>
            <w:left w:val="none" w:sz="0" w:space="0" w:color="auto"/>
            <w:bottom w:val="none" w:sz="0" w:space="0" w:color="auto"/>
            <w:right w:val="none" w:sz="0" w:space="0" w:color="auto"/>
          </w:divBdr>
        </w:div>
      </w:divsChild>
    </w:div>
    <w:div w:id="929198170">
      <w:bodyDiv w:val="1"/>
      <w:marLeft w:val="0"/>
      <w:marRight w:val="0"/>
      <w:marTop w:val="0"/>
      <w:marBottom w:val="0"/>
      <w:divBdr>
        <w:top w:val="none" w:sz="0" w:space="0" w:color="auto"/>
        <w:left w:val="none" w:sz="0" w:space="0" w:color="auto"/>
        <w:bottom w:val="none" w:sz="0" w:space="0" w:color="auto"/>
        <w:right w:val="none" w:sz="0" w:space="0" w:color="auto"/>
      </w:divBdr>
    </w:div>
    <w:div w:id="1066487947">
      <w:bodyDiv w:val="1"/>
      <w:marLeft w:val="0"/>
      <w:marRight w:val="0"/>
      <w:marTop w:val="0"/>
      <w:marBottom w:val="0"/>
      <w:divBdr>
        <w:top w:val="none" w:sz="0" w:space="0" w:color="auto"/>
        <w:left w:val="none" w:sz="0" w:space="0" w:color="auto"/>
        <w:bottom w:val="none" w:sz="0" w:space="0" w:color="auto"/>
        <w:right w:val="none" w:sz="0" w:space="0" w:color="auto"/>
      </w:divBdr>
    </w:div>
    <w:div w:id="1077938252">
      <w:bodyDiv w:val="1"/>
      <w:marLeft w:val="0"/>
      <w:marRight w:val="0"/>
      <w:marTop w:val="0"/>
      <w:marBottom w:val="0"/>
      <w:divBdr>
        <w:top w:val="none" w:sz="0" w:space="0" w:color="auto"/>
        <w:left w:val="none" w:sz="0" w:space="0" w:color="auto"/>
        <w:bottom w:val="none" w:sz="0" w:space="0" w:color="auto"/>
        <w:right w:val="none" w:sz="0" w:space="0" w:color="auto"/>
      </w:divBdr>
      <w:divsChild>
        <w:div w:id="326783043">
          <w:marLeft w:val="1800"/>
          <w:marRight w:val="0"/>
          <w:marTop w:val="77"/>
          <w:marBottom w:val="0"/>
          <w:divBdr>
            <w:top w:val="none" w:sz="0" w:space="0" w:color="auto"/>
            <w:left w:val="none" w:sz="0" w:space="0" w:color="auto"/>
            <w:bottom w:val="none" w:sz="0" w:space="0" w:color="auto"/>
            <w:right w:val="none" w:sz="0" w:space="0" w:color="auto"/>
          </w:divBdr>
        </w:div>
        <w:div w:id="1874809946">
          <w:marLeft w:val="1166"/>
          <w:marRight w:val="0"/>
          <w:marTop w:val="86"/>
          <w:marBottom w:val="0"/>
          <w:divBdr>
            <w:top w:val="none" w:sz="0" w:space="0" w:color="auto"/>
            <w:left w:val="none" w:sz="0" w:space="0" w:color="auto"/>
            <w:bottom w:val="none" w:sz="0" w:space="0" w:color="auto"/>
            <w:right w:val="none" w:sz="0" w:space="0" w:color="auto"/>
          </w:divBdr>
        </w:div>
      </w:divsChild>
    </w:div>
    <w:div w:id="1175002354">
      <w:bodyDiv w:val="1"/>
      <w:marLeft w:val="0"/>
      <w:marRight w:val="0"/>
      <w:marTop w:val="0"/>
      <w:marBottom w:val="0"/>
      <w:divBdr>
        <w:top w:val="none" w:sz="0" w:space="0" w:color="auto"/>
        <w:left w:val="none" w:sz="0" w:space="0" w:color="auto"/>
        <w:bottom w:val="none" w:sz="0" w:space="0" w:color="auto"/>
        <w:right w:val="none" w:sz="0" w:space="0" w:color="auto"/>
      </w:divBdr>
      <w:divsChild>
        <w:div w:id="178591949">
          <w:marLeft w:val="1166"/>
          <w:marRight w:val="0"/>
          <w:marTop w:val="77"/>
          <w:marBottom w:val="0"/>
          <w:divBdr>
            <w:top w:val="none" w:sz="0" w:space="0" w:color="auto"/>
            <w:left w:val="none" w:sz="0" w:space="0" w:color="auto"/>
            <w:bottom w:val="none" w:sz="0" w:space="0" w:color="auto"/>
            <w:right w:val="none" w:sz="0" w:space="0" w:color="auto"/>
          </w:divBdr>
        </w:div>
        <w:div w:id="911887863">
          <w:marLeft w:val="547"/>
          <w:marRight w:val="0"/>
          <w:marTop w:val="96"/>
          <w:marBottom w:val="0"/>
          <w:divBdr>
            <w:top w:val="none" w:sz="0" w:space="0" w:color="auto"/>
            <w:left w:val="none" w:sz="0" w:space="0" w:color="auto"/>
            <w:bottom w:val="none" w:sz="0" w:space="0" w:color="auto"/>
            <w:right w:val="none" w:sz="0" w:space="0" w:color="auto"/>
          </w:divBdr>
        </w:div>
        <w:div w:id="1887135583">
          <w:marLeft w:val="1800"/>
          <w:marRight w:val="0"/>
          <w:marTop w:val="67"/>
          <w:marBottom w:val="0"/>
          <w:divBdr>
            <w:top w:val="none" w:sz="0" w:space="0" w:color="auto"/>
            <w:left w:val="none" w:sz="0" w:space="0" w:color="auto"/>
            <w:bottom w:val="none" w:sz="0" w:space="0" w:color="auto"/>
            <w:right w:val="none" w:sz="0" w:space="0" w:color="auto"/>
          </w:divBdr>
        </w:div>
      </w:divsChild>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sChild>
        <w:div w:id="1511407142">
          <w:marLeft w:val="547"/>
          <w:marRight w:val="0"/>
          <w:marTop w:val="96"/>
          <w:marBottom w:val="0"/>
          <w:divBdr>
            <w:top w:val="none" w:sz="0" w:space="0" w:color="auto"/>
            <w:left w:val="none" w:sz="0" w:space="0" w:color="auto"/>
            <w:bottom w:val="none" w:sz="0" w:space="0" w:color="auto"/>
            <w:right w:val="none" w:sz="0" w:space="0" w:color="auto"/>
          </w:divBdr>
        </w:div>
      </w:divsChild>
    </w:div>
    <w:div w:id="1247301573">
      <w:bodyDiv w:val="1"/>
      <w:marLeft w:val="0"/>
      <w:marRight w:val="0"/>
      <w:marTop w:val="0"/>
      <w:marBottom w:val="0"/>
      <w:divBdr>
        <w:top w:val="none" w:sz="0" w:space="0" w:color="auto"/>
        <w:left w:val="none" w:sz="0" w:space="0" w:color="auto"/>
        <w:bottom w:val="none" w:sz="0" w:space="0" w:color="auto"/>
        <w:right w:val="none" w:sz="0" w:space="0" w:color="auto"/>
      </w:divBdr>
      <w:divsChild>
        <w:div w:id="6565306">
          <w:marLeft w:val="1166"/>
          <w:marRight w:val="0"/>
          <w:marTop w:val="86"/>
          <w:marBottom w:val="0"/>
          <w:divBdr>
            <w:top w:val="none" w:sz="0" w:space="0" w:color="auto"/>
            <w:left w:val="none" w:sz="0" w:space="0" w:color="auto"/>
            <w:bottom w:val="none" w:sz="0" w:space="0" w:color="auto"/>
            <w:right w:val="none" w:sz="0" w:space="0" w:color="auto"/>
          </w:divBdr>
        </w:div>
      </w:divsChild>
    </w:div>
    <w:div w:id="1281104924">
      <w:bodyDiv w:val="1"/>
      <w:marLeft w:val="0"/>
      <w:marRight w:val="0"/>
      <w:marTop w:val="0"/>
      <w:marBottom w:val="0"/>
      <w:divBdr>
        <w:top w:val="none" w:sz="0" w:space="0" w:color="auto"/>
        <w:left w:val="none" w:sz="0" w:space="0" w:color="auto"/>
        <w:bottom w:val="none" w:sz="0" w:space="0" w:color="auto"/>
        <w:right w:val="none" w:sz="0" w:space="0" w:color="auto"/>
      </w:divBdr>
      <w:divsChild>
        <w:div w:id="1836069610">
          <w:marLeft w:val="547"/>
          <w:marRight w:val="0"/>
          <w:marTop w:val="96"/>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569655045">
      <w:bodyDiv w:val="1"/>
      <w:marLeft w:val="0"/>
      <w:marRight w:val="0"/>
      <w:marTop w:val="0"/>
      <w:marBottom w:val="0"/>
      <w:divBdr>
        <w:top w:val="none" w:sz="0" w:space="0" w:color="auto"/>
        <w:left w:val="none" w:sz="0" w:space="0" w:color="auto"/>
        <w:bottom w:val="none" w:sz="0" w:space="0" w:color="auto"/>
        <w:right w:val="none" w:sz="0" w:space="0" w:color="auto"/>
      </w:divBdr>
    </w:div>
    <w:div w:id="1675061870">
      <w:bodyDiv w:val="1"/>
      <w:marLeft w:val="0"/>
      <w:marRight w:val="0"/>
      <w:marTop w:val="0"/>
      <w:marBottom w:val="0"/>
      <w:divBdr>
        <w:top w:val="none" w:sz="0" w:space="0" w:color="auto"/>
        <w:left w:val="none" w:sz="0" w:space="0" w:color="auto"/>
        <w:bottom w:val="none" w:sz="0" w:space="0" w:color="auto"/>
        <w:right w:val="none" w:sz="0" w:space="0" w:color="auto"/>
      </w:divBdr>
      <w:divsChild>
        <w:div w:id="342712122">
          <w:marLeft w:val="1166"/>
          <w:marRight w:val="0"/>
          <w:marTop w:val="86"/>
          <w:marBottom w:val="0"/>
          <w:divBdr>
            <w:top w:val="none" w:sz="0" w:space="0" w:color="auto"/>
            <w:left w:val="none" w:sz="0" w:space="0" w:color="auto"/>
            <w:bottom w:val="none" w:sz="0" w:space="0" w:color="auto"/>
            <w:right w:val="none" w:sz="0" w:space="0" w:color="auto"/>
          </w:divBdr>
        </w:div>
        <w:div w:id="746462639">
          <w:marLeft w:val="1987"/>
          <w:marRight w:val="0"/>
          <w:marTop w:val="77"/>
          <w:marBottom w:val="0"/>
          <w:divBdr>
            <w:top w:val="none" w:sz="0" w:space="0" w:color="auto"/>
            <w:left w:val="none" w:sz="0" w:space="0" w:color="auto"/>
            <w:bottom w:val="none" w:sz="0" w:space="0" w:color="auto"/>
            <w:right w:val="none" w:sz="0" w:space="0" w:color="auto"/>
          </w:divBdr>
        </w:div>
      </w:divsChild>
    </w:div>
    <w:div w:id="1776512954">
      <w:bodyDiv w:val="1"/>
      <w:marLeft w:val="0"/>
      <w:marRight w:val="0"/>
      <w:marTop w:val="0"/>
      <w:marBottom w:val="0"/>
      <w:divBdr>
        <w:top w:val="none" w:sz="0" w:space="0" w:color="auto"/>
        <w:left w:val="none" w:sz="0" w:space="0" w:color="auto"/>
        <w:bottom w:val="none" w:sz="0" w:space="0" w:color="auto"/>
        <w:right w:val="none" w:sz="0" w:space="0" w:color="auto"/>
      </w:divBdr>
      <w:divsChild>
        <w:div w:id="385766205">
          <w:marLeft w:val="547"/>
          <w:marRight w:val="0"/>
          <w:marTop w:val="96"/>
          <w:marBottom w:val="0"/>
          <w:divBdr>
            <w:top w:val="none" w:sz="0" w:space="0" w:color="auto"/>
            <w:left w:val="none" w:sz="0" w:space="0" w:color="auto"/>
            <w:bottom w:val="none" w:sz="0" w:space="0" w:color="auto"/>
            <w:right w:val="none" w:sz="0" w:space="0" w:color="auto"/>
          </w:divBdr>
        </w:div>
        <w:div w:id="444152936">
          <w:marLeft w:val="547"/>
          <w:marRight w:val="0"/>
          <w:marTop w:val="96"/>
          <w:marBottom w:val="0"/>
          <w:divBdr>
            <w:top w:val="none" w:sz="0" w:space="0" w:color="auto"/>
            <w:left w:val="none" w:sz="0" w:space="0" w:color="auto"/>
            <w:bottom w:val="none" w:sz="0" w:space="0" w:color="auto"/>
            <w:right w:val="none" w:sz="0" w:space="0" w:color="auto"/>
          </w:divBdr>
        </w:div>
        <w:div w:id="469979085">
          <w:marLeft w:val="1800"/>
          <w:marRight w:val="0"/>
          <w:marTop w:val="77"/>
          <w:marBottom w:val="0"/>
          <w:divBdr>
            <w:top w:val="none" w:sz="0" w:space="0" w:color="auto"/>
            <w:left w:val="none" w:sz="0" w:space="0" w:color="auto"/>
            <w:bottom w:val="none" w:sz="0" w:space="0" w:color="auto"/>
            <w:right w:val="none" w:sz="0" w:space="0" w:color="auto"/>
          </w:divBdr>
        </w:div>
        <w:div w:id="720982401">
          <w:marLeft w:val="1166"/>
          <w:marRight w:val="0"/>
          <w:marTop w:val="86"/>
          <w:marBottom w:val="0"/>
          <w:divBdr>
            <w:top w:val="none" w:sz="0" w:space="0" w:color="auto"/>
            <w:left w:val="none" w:sz="0" w:space="0" w:color="auto"/>
            <w:bottom w:val="none" w:sz="0" w:space="0" w:color="auto"/>
            <w:right w:val="none" w:sz="0" w:space="0" w:color="auto"/>
          </w:divBdr>
        </w:div>
        <w:div w:id="948925511">
          <w:marLeft w:val="1166"/>
          <w:marRight w:val="0"/>
          <w:marTop w:val="86"/>
          <w:marBottom w:val="0"/>
          <w:divBdr>
            <w:top w:val="none" w:sz="0" w:space="0" w:color="auto"/>
            <w:left w:val="none" w:sz="0" w:space="0" w:color="auto"/>
            <w:bottom w:val="none" w:sz="0" w:space="0" w:color="auto"/>
            <w:right w:val="none" w:sz="0" w:space="0" w:color="auto"/>
          </w:divBdr>
        </w:div>
        <w:div w:id="1004674276">
          <w:marLeft w:val="547"/>
          <w:marRight w:val="0"/>
          <w:marTop w:val="96"/>
          <w:marBottom w:val="0"/>
          <w:divBdr>
            <w:top w:val="none" w:sz="0" w:space="0" w:color="auto"/>
            <w:left w:val="none" w:sz="0" w:space="0" w:color="auto"/>
            <w:bottom w:val="none" w:sz="0" w:space="0" w:color="auto"/>
            <w:right w:val="none" w:sz="0" w:space="0" w:color="auto"/>
          </w:divBdr>
        </w:div>
        <w:div w:id="1227109327">
          <w:marLeft w:val="1166"/>
          <w:marRight w:val="0"/>
          <w:marTop w:val="86"/>
          <w:marBottom w:val="0"/>
          <w:divBdr>
            <w:top w:val="none" w:sz="0" w:space="0" w:color="auto"/>
            <w:left w:val="none" w:sz="0" w:space="0" w:color="auto"/>
            <w:bottom w:val="none" w:sz="0" w:space="0" w:color="auto"/>
            <w:right w:val="none" w:sz="0" w:space="0" w:color="auto"/>
          </w:divBdr>
        </w:div>
        <w:div w:id="1835294209">
          <w:marLeft w:val="1166"/>
          <w:marRight w:val="0"/>
          <w:marTop w:val="86"/>
          <w:marBottom w:val="0"/>
          <w:divBdr>
            <w:top w:val="none" w:sz="0" w:space="0" w:color="auto"/>
            <w:left w:val="none" w:sz="0" w:space="0" w:color="auto"/>
            <w:bottom w:val="none" w:sz="0" w:space="0" w:color="auto"/>
            <w:right w:val="none" w:sz="0" w:space="0" w:color="auto"/>
          </w:divBdr>
        </w:div>
        <w:div w:id="2038658276">
          <w:marLeft w:val="547"/>
          <w:marRight w:val="0"/>
          <w:marTop w:val="96"/>
          <w:marBottom w:val="0"/>
          <w:divBdr>
            <w:top w:val="none" w:sz="0" w:space="0" w:color="auto"/>
            <w:left w:val="none" w:sz="0" w:space="0" w:color="auto"/>
            <w:bottom w:val="none" w:sz="0" w:space="0" w:color="auto"/>
            <w:right w:val="none" w:sz="0" w:space="0" w:color="auto"/>
          </w:divBdr>
        </w:div>
      </w:divsChild>
    </w:div>
    <w:div w:id="1824541433">
      <w:bodyDiv w:val="1"/>
      <w:marLeft w:val="0"/>
      <w:marRight w:val="0"/>
      <w:marTop w:val="0"/>
      <w:marBottom w:val="0"/>
      <w:divBdr>
        <w:top w:val="none" w:sz="0" w:space="0" w:color="auto"/>
        <w:left w:val="none" w:sz="0" w:space="0" w:color="auto"/>
        <w:bottom w:val="none" w:sz="0" w:space="0" w:color="auto"/>
        <w:right w:val="none" w:sz="0" w:space="0" w:color="auto"/>
      </w:divBdr>
      <w:divsChild>
        <w:div w:id="149827769">
          <w:marLeft w:val="1800"/>
          <w:marRight w:val="0"/>
          <w:marTop w:val="77"/>
          <w:marBottom w:val="0"/>
          <w:divBdr>
            <w:top w:val="none" w:sz="0" w:space="0" w:color="auto"/>
            <w:left w:val="none" w:sz="0" w:space="0" w:color="auto"/>
            <w:bottom w:val="none" w:sz="0" w:space="0" w:color="auto"/>
            <w:right w:val="none" w:sz="0" w:space="0" w:color="auto"/>
          </w:divBdr>
        </w:div>
        <w:div w:id="366640522">
          <w:marLeft w:val="1166"/>
          <w:marRight w:val="0"/>
          <w:marTop w:val="86"/>
          <w:marBottom w:val="0"/>
          <w:divBdr>
            <w:top w:val="none" w:sz="0" w:space="0" w:color="auto"/>
            <w:left w:val="none" w:sz="0" w:space="0" w:color="auto"/>
            <w:bottom w:val="none" w:sz="0" w:space="0" w:color="auto"/>
            <w:right w:val="none" w:sz="0" w:space="0" w:color="auto"/>
          </w:divBdr>
        </w:div>
        <w:div w:id="749346498">
          <w:marLeft w:val="1166"/>
          <w:marRight w:val="0"/>
          <w:marTop w:val="86"/>
          <w:marBottom w:val="0"/>
          <w:divBdr>
            <w:top w:val="none" w:sz="0" w:space="0" w:color="auto"/>
            <w:left w:val="none" w:sz="0" w:space="0" w:color="auto"/>
            <w:bottom w:val="none" w:sz="0" w:space="0" w:color="auto"/>
            <w:right w:val="none" w:sz="0" w:space="0" w:color="auto"/>
          </w:divBdr>
        </w:div>
        <w:div w:id="948778244">
          <w:marLeft w:val="1800"/>
          <w:marRight w:val="0"/>
          <w:marTop w:val="77"/>
          <w:marBottom w:val="0"/>
          <w:divBdr>
            <w:top w:val="none" w:sz="0" w:space="0" w:color="auto"/>
            <w:left w:val="none" w:sz="0" w:space="0" w:color="auto"/>
            <w:bottom w:val="none" w:sz="0" w:space="0" w:color="auto"/>
            <w:right w:val="none" w:sz="0" w:space="0" w:color="auto"/>
          </w:divBdr>
        </w:div>
        <w:div w:id="1240214500">
          <w:marLeft w:val="1800"/>
          <w:marRight w:val="0"/>
          <w:marTop w:val="77"/>
          <w:marBottom w:val="0"/>
          <w:divBdr>
            <w:top w:val="none" w:sz="0" w:space="0" w:color="auto"/>
            <w:left w:val="none" w:sz="0" w:space="0" w:color="auto"/>
            <w:bottom w:val="none" w:sz="0" w:space="0" w:color="auto"/>
            <w:right w:val="none" w:sz="0" w:space="0" w:color="auto"/>
          </w:divBdr>
        </w:div>
        <w:div w:id="1300720747">
          <w:marLeft w:val="1800"/>
          <w:marRight w:val="0"/>
          <w:marTop w:val="77"/>
          <w:marBottom w:val="0"/>
          <w:divBdr>
            <w:top w:val="none" w:sz="0" w:space="0" w:color="auto"/>
            <w:left w:val="none" w:sz="0" w:space="0" w:color="auto"/>
            <w:bottom w:val="none" w:sz="0" w:space="0" w:color="auto"/>
            <w:right w:val="none" w:sz="0" w:space="0" w:color="auto"/>
          </w:divBdr>
        </w:div>
        <w:div w:id="1310011055">
          <w:marLeft w:val="547"/>
          <w:marRight w:val="0"/>
          <w:marTop w:val="96"/>
          <w:marBottom w:val="0"/>
          <w:divBdr>
            <w:top w:val="none" w:sz="0" w:space="0" w:color="auto"/>
            <w:left w:val="none" w:sz="0" w:space="0" w:color="auto"/>
            <w:bottom w:val="none" w:sz="0" w:space="0" w:color="auto"/>
            <w:right w:val="none" w:sz="0" w:space="0" w:color="auto"/>
          </w:divBdr>
        </w:div>
        <w:div w:id="1310137391">
          <w:marLeft w:val="1800"/>
          <w:marRight w:val="0"/>
          <w:marTop w:val="77"/>
          <w:marBottom w:val="0"/>
          <w:divBdr>
            <w:top w:val="none" w:sz="0" w:space="0" w:color="auto"/>
            <w:left w:val="none" w:sz="0" w:space="0" w:color="auto"/>
            <w:bottom w:val="none" w:sz="0" w:space="0" w:color="auto"/>
            <w:right w:val="none" w:sz="0" w:space="0" w:color="auto"/>
          </w:divBdr>
        </w:div>
        <w:div w:id="1968778102">
          <w:marLeft w:val="1800"/>
          <w:marRight w:val="0"/>
          <w:marTop w:val="77"/>
          <w:marBottom w:val="0"/>
          <w:divBdr>
            <w:top w:val="none" w:sz="0" w:space="0" w:color="auto"/>
            <w:left w:val="none" w:sz="0" w:space="0" w:color="auto"/>
            <w:bottom w:val="none" w:sz="0" w:space="0" w:color="auto"/>
            <w:right w:val="none" w:sz="0" w:space="0" w:color="auto"/>
          </w:divBdr>
        </w:div>
        <w:div w:id="2068062602">
          <w:marLeft w:val="1800"/>
          <w:marRight w:val="0"/>
          <w:marTop w:val="77"/>
          <w:marBottom w:val="0"/>
          <w:divBdr>
            <w:top w:val="none" w:sz="0" w:space="0" w:color="auto"/>
            <w:left w:val="none" w:sz="0" w:space="0" w:color="auto"/>
            <w:bottom w:val="none" w:sz="0" w:space="0" w:color="auto"/>
            <w:right w:val="none" w:sz="0" w:space="0" w:color="auto"/>
          </w:divBdr>
        </w:div>
      </w:divsChild>
    </w:div>
    <w:div w:id="1840197421">
      <w:bodyDiv w:val="1"/>
      <w:marLeft w:val="0"/>
      <w:marRight w:val="0"/>
      <w:marTop w:val="0"/>
      <w:marBottom w:val="0"/>
      <w:divBdr>
        <w:top w:val="none" w:sz="0" w:space="0" w:color="auto"/>
        <w:left w:val="none" w:sz="0" w:space="0" w:color="auto"/>
        <w:bottom w:val="none" w:sz="0" w:space="0" w:color="auto"/>
        <w:right w:val="none" w:sz="0" w:space="0" w:color="auto"/>
      </w:divBdr>
      <w:divsChild>
        <w:div w:id="289019125">
          <w:marLeft w:val="274"/>
          <w:marRight w:val="0"/>
          <w:marTop w:val="0"/>
          <w:marBottom w:val="0"/>
          <w:divBdr>
            <w:top w:val="none" w:sz="0" w:space="0" w:color="auto"/>
            <w:left w:val="none" w:sz="0" w:space="0" w:color="auto"/>
            <w:bottom w:val="none" w:sz="0" w:space="0" w:color="auto"/>
            <w:right w:val="none" w:sz="0" w:space="0" w:color="auto"/>
          </w:divBdr>
        </w:div>
        <w:div w:id="1819884363">
          <w:marLeft w:val="274"/>
          <w:marRight w:val="0"/>
          <w:marTop w:val="0"/>
          <w:marBottom w:val="0"/>
          <w:divBdr>
            <w:top w:val="none" w:sz="0" w:space="0" w:color="auto"/>
            <w:left w:val="none" w:sz="0" w:space="0" w:color="auto"/>
            <w:bottom w:val="none" w:sz="0" w:space="0" w:color="auto"/>
            <w:right w:val="none" w:sz="0" w:space="0" w:color="auto"/>
          </w:divBdr>
        </w:div>
      </w:divsChild>
    </w:div>
    <w:div w:id="1918124556">
      <w:bodyDiv w:val="1"/>
      <w:marLeft w:val="0"/>
      <w:marRight w:val="0"/>
      <w:marTop w:val="0"/>
      <w:marBottom w:val="0"/>
      <w:divBdr>
        <w:top w:val="none" w:sz="0" w:space="0" w:color="auto"/>
        <w:left w:val="none" w:sz="0" w:space="0" w:color="auto"/>
        <w:bottom w:val="none" w:sz="0" w:space="0" w:color="auto"/>
        <w:right w:val="none" w:sz="0" w:space="0" w:color="auto"/>
      </w:divBdr>
      <w:divsChild>
        <w:div w:id="1210726530">
          <w:marLeft w:val="1800"/>
          <w:marRight w:val="0"/>
          <w:marTop w:val="67"/>
          <w:marBottom w:val="0"/>
          <w:divBdr>
            <w:top w:val="none" w:sz="0" w:space="0" w:color="auto"/>
            <w:left w:val="none" w:sz="0" w:space="0" w:color="auto"/>
            <w:bottom w:val="none" w:sz="0" w:space="0" w:color="auto"/>
            <w:right w:val="none" w:sz="0" w:space="0" w:color="auto"/>
          </w:divBdr>
        </w:div>
        <w:div w:id="1604217256">
          <w:marLeft w:val="1166"/>
          <w:marRight w:val="0"/>
          <w:marTop w:val="77"/>
          <w:marBottom w:val="0"/>
          <w:divBdr>
            <w:top w:val="none" w:sz="0" w:space="0" w:color="auto"/>
            <w:left w:val="none" w:sz="0" w:space="0" w:color="auto"/>
            <w:bottom w:val="none" w:sz="0" w:space="0" w:color="auto"/>
            <w:right w:val="none" w:sz="0" w:space="0" w:color="auto"/>
          </w:divBdr>
        </w:div>
        <w:div w:id="1765033041">
          <w:marLeft w:val="1800"/>
          <w:marRight w:val="0"/>
          <w:marTop w:val="67"/>
          <w:marBottom w:val="0"/>
          <w:divBdr>
            <w:top w:val="none" w:sz="0" w:space="0" w:color="auto"/>
            <w:left w:val="none" w:sz="0" w:space="0" w:color="auto"/>
            <w:bottom w:val="none" w:sz="0" w:space="0" w:color="auto"/>
            <w:right w:val="none" w:sz="0" w:space="0" w:color="auto"/>
          </w:divBdr>
        </w:div>
        <w:div w:id="1810241927">
          <w:marLeft w:val="1800"/>
          <w:marRight w:val="0"/>
          <w:marTop w:val="67"/>
          <w:marBottom w:val="0"/>
          <w:divBdr>
            <w:top w:val="none" w:sz="0" w:space="0" w:color="auto"/>
            <w:left w:val="none" w:sz="0" w:space="0" w:color="auto"/>
            <w:bottom w:val="none" w:sz="0" w:space="0" w:color="auto"/>
            <w:right w:val="none" w:sz="0" w:space="0" w:color="auto"/>
          </w:divBdr>
        </w:div>
      </w:divsChild>
    </w:div>
    <w:div w:id="1919291102">
      <w:bodyDiv w:val="1"/>
      <w:marLeft w:val="0"/>
      <w:marRight w:val="0"/>
      <w:marTop w:val="0"/>
      <w:marBottom w:val="0"/>
      <w:divBdr>
        <w:top w:val="none" w:sz="0" w:space="0" w:color="auto"/>
        <w:left w:val="none" w:sz="0" w:space="0" w:color="auto"/>
        <w:bottom w:val="none" w:sz="0" w:space="0" w:color="auto"/>
        <w:right w:val="none" w:sz="0" w:space="0" w:color="auto"/>
      </w:divBdr>
      <w:divsChild>
        <w:div w:id="240985981">
          <w:marLeft w:val="1166"/>
          <w:marRight w:val="0"/>
          <w:marTop w:val="86"/>
          <w:marBottom w:val="0"/>
          <w:divBdr>
            <w:top w:val="none" w:sz="0" w:space="0" w:color="auto"/>
            <w:left w:val="none" w:sz="0" w:space="0" w:color="auto"/>
            <w:bottom w:val="none" w:sz="0" w:space="0" w:color="auto"/>
            <w:right w:val="none" w:sz="0" w:space="0" w:color="auto"/>
          </w:divBdr>
        </w:div>
        <w:div w:id="1105150512">
          <w:marLeft w:val="1166"/>
          <w:marRight w:val="0"/>
          <w:marTop w:val="86"/>
          <w:marBottom w:val="0"/>
          <w:divBdr>
            <w:top w:val="none" w:sz="0" w:space="0" w:color="auto"/>
            <w:left w:val="none" w:sz="0" w:space="0" w:color="auto"/>
            <w:bottom w:val="none" w:sz="0" w:space="0" w:color="auto"/>
            <w:right w:val="none" w:sz="0" w:space="0" w:color="auto"/>
          </w:divBdr>
        </w:div>
        <w:div w:id="1251810233">
          <w:marLeft w:val="547"/>
          <w:marRight w:val="0"/>
          <w:marTop w:val="96"/>
          <w:marBottom w:val="0"/>
          <w:divBdr>
            <w:top w:val="none" w:sz="0" w:space="0" w:color="auto"/>
            <w:left w:val="none" w:sz="0" w:space="0" w:color="auto"/>
            <w:bottom w:val="none" w:sz="0" w:space="0" w:color="auto"/>
            <w:right w:val="none" w:sz="0" w:space="0" w:color="auto"/>
          </w:divBdr>
        </w:div>
        <w:div w:id="1305507225">
          <w:marLeft w:val="1166"/>
          <w:marRight w:val="0"/>
          <w:marTop w:val="86"/>
          <w:marBottom w:val="0"/>
          <w:divBdr>
            <w:top w:val="none" w:sz="0" w:space="0" w:color="auto"/>
            <w:left w:val="none" w:sz="0" w:space="0" w:color="auto"/>
            <w:bottom w:val="none" w:sz="0" w:space="0" w:color="auto"/>
            <w:right w:val="none" w:sz="0" w:space="0" w:color="auto"/>
          </w:divBdr>
        </w:div>
        <w:div w:id="1316111300">
          <w:marLeft w:val="547"/>
          <w:marRight w:val="0"/>
          <w:marTop w:val="96"/>
          <w:marBottom w:val="0"/>
          <w:divBdr>
            <w:top w:val="none" w:sz="0" w:space="0" w:color="auto"/>
            <w:left w:val="none" w:sz="0" w:space="0" w:color="auto"/>
            <w:bottom w:val="none" w:sz="0" w:space="0" w:color="auto"/>
            <w:right w:val="none" w:sz="0" w:space="0" w:color="auto"/>
          </w:divBdr>
        </w:div>
        <w:div w:id="1374689318">
          <w:marLeft w:val="1800"/>
          <w:marRight w:val="0"/>
          <w:marTop w:val="77"/>
          <w:marBottom w:val="0"/>
          <w:divBdr>
            <w:top w:val="none" w:sz="0" w:space="0" w:color="auto"/>
            <w:left w:val="none" w:sz="0" w:space="0" w:color="auto"/>
            <w:bottom w:val="none" w:sz="0" w:space="0" w:color="auto"/>
            <w:right w:val="none" w:sz="0" w:space="0" w:color="auto"/>
          </w:divBdr>
        </w:div>
        <w:div w:id="1513838061">
          <w:marLeft w:val="1166"/>
          <w:marRight w:val="0"/>
          <w:marTop w:val="86"/>
          <w:marBottom w:val="0"/>
          <w:divBdr>
            <w:top w:val="none" w:sz="0" w:space="0" w:color="auto"/>
            <w:left w:val="none" w:sz="0" w:space="0" w:color="auto"/>
            <w:bottom w:val="none" w:sz="0" w:space="0" w:color="auto"/>
            <w:right w:val="none" w:sz="0" w:space="0" w:color="auto"/>
          </w:divBdr>
        </w:div>
        <w:div w:id="1606034874">
          <w:marLeft w:val="1166"/>
          <w:marRight w:val="0"/>
          <w:marTop w:val="86"/>
          <w:marBottom w:val="0"/>
          <w:divBdr>
            <w:top w:val="none" w:sz="0" w:space="0" w:color="auto"/>
            <w:left w:val="none" w:sz="0" w:space="0" w:color="auto"/>
            <w:bottom w:val="none" w:sz="0" w:space="0" w:color="auto"/>
            <w:right w:val="none" w:sz="0" w:space="0" w:color="auto"/>
          </w:divBdr>
        </w:div>
        <w:div w:id="2001930527">
          <w:marLeft w:val="1800"/>
          <w:marRight w:val="0"/>
          <w:marTop w:val="77"/>
          <w:marBottom w:val="0"/>
          <w:divBdr>
            <w:top w:val="none" w:sz="0" w:space="0" w:color="auto"/>
            <w:left w:val="none" w:sz="0" w:space="0" w:color="auto"/>
            <w:bottom w:val="none" w:sz="0" w:space="0" w:color="auto"/>
            <w:right w:val="none" w:sz="0" w:space="0" w:color="auto"/>
          </w:divBdr>
        </w:div>
        <w:div w:id="2116558855">
          <w:marLeft w:val="1166"/>
          <w:marRight w:val="0"/>
          <w:marTop w:val="86"/>
          <w:marBottom w:val="0"/>
          <w:divBdr>
            <w:top w:val="none" w:sz="0" w:space="0" w:color="auto"/>
            <w:left w:val="none" w:sz="0" w:space="0" w:color="auto"/>
            <w:bottom w:val="none" w:sz="0" w:space="0" w:color="auto"/>
            <w:right w:val="none" w:sz="0" w:space="0" w:color="auto"/>
          </w:divBdr>
        </w:div>
      </w:divsChild>
    </w:div>
    <w:div w:id="1928028448">
      <w:bodyDiv w:val="1"/>
      <w:marLeft w:val="0"/>
      <w:marRight w:val="0"/>
      <w:marTop w:val="0"/>
      <w:marBottom w:val="0"/>
      <w:divBdr>
        <w:top w:val="none" w:sz="0" w:space="0" w:color="auto"/>
        <w:left w:val="none" w:sz="0" w:space="0" w:color="auto"/>
        <w:bottom w:val="none" w:sz="0" w:space="0" w:color="auto"/>
        <w:right w:val="none" w:sz="0" w:space="0" w:color="auto"/>
      </w:divBdr>
      <w:divsChild>
        <w:div w:id="31342589">
          <w:marLeft w:val="1166"/>
          <w:marRight w:val="0"/>
          <w:marTop w:val="86"/>
          <w:marBottom w:val="0"/>
          <w:divBdr>
            <w:top w:val="none" w:sz="0" w:space="0" w:color="auto"/>
            <w:left w:val="none" w:sz="0" w:space="0" w:color="auto"/>
            <w:bottom w:val="none" w:sz="0" w:space="0" w:color="auto"/>
            <w:right w:val="none" w:sz="0" w:space="0" w:color="auto"/>
          </w:divBdr>
        </w:div>
        <w:div w:id="495458384">
          <w:marLeft w:val="1166"/>
          <w:marRight w:val="0"/>
          <w:marTop w:val="86"/>
          <w:marBottom w:val="0"/>
          <w:divBdr>
            <w:top w:val="none" w:sz="0" w:space="0" w:color="auto"/>
            <w:left w:val="none" w:sz="0" w:space="0" w:color="auto"/>
            <w:bottom w:val="none" w:sz="0" w:space="0" w:color="auto"/>
            <w:right w:val="none" w:sz="0" w:space="0" w:color="auto"/>
          </w:divBdr>
        </w:div>
        <w:div w:id="572088091">
          <w:marLeft w:val="547"/>
          <w:marRight w:val="0"/>
          <w:marTop w:val="96"/>
          <w:marBottom w:val="0"/>
          <w:divBdr>
            <w:top w:val="none" w:sz="0" w:space="0" w:color="auto"/>
            <w:left w:val="none" w:sz="0" w:space="0" w:color="auto"/>
            <w:bottom w:val="none" w:sz="0" w:space="0" w:color="auto"/>
            <w:right w:val="none" w:sz="0" w:space="0" w:color="auto"/>
          </w:divBdr>
        </w:div>
        <w:div w:id="740978782">
          <w:marLeft w:val="1166"/>
          <w:marRight w:val="0"/>
          <w:marTop w:val="86"/>
          <w:marBottom w:val="0"/>
          <w:divBdr>
            <w:top w:val="none" w:sz="0" w:space="0" w:color="auto"/>
            <w:left w:val="none" w:sz="0" w:space="0" w:color="auto"/>
            <w:bottom w:val="none" w:sz="0" w:space="0" w:color="auto"/>
            <w:right w:val="none" w:sz="0" w:space="0" w:color="auto"/>
          </w:divBdr>
        </w:div>
        <w:div w:id="1058480077">
          <w:marLeft w:val="1166"/>
          <w:marRight w:val="0"/>
          <w:marTop w:val="86"/>
          <w:marBottom w:val="0"/>
          <w:divBdr>
            <w:top w:val="none" w:sz="0" w:space="0" w:color="auto"/>
            <w:left w:val="none" w:sz="0" w:space="0" w:color="auto"/>
            <w:bottom w:val="none" w:sz="0" w:space="0" w:color="auto"/>
            <w:right w:val="none" w:sz="0" w:space="0" w:color="auto"/>
          </w:divBdr>
        </w:div>
        <w:div w:id="1578131466">
          <w:marLeft w:val="547"/>
          <w:marRight w:val="0"/>
          <w:marTop w:val="96"/>
          <w:marBottom w:val="0"/>
          <w:divBdr>
            <w:top w:val="none" w:sz="0" w:space="0" w:color="auto"/>
            <w:left w:val="none" w:sz="0" w:space="0" w:color="auto"/>
            <w:bottom w:val="none" w:sz="0" w:space="0" w:color="auto"/>
            <w:right w:val="none" w:sz="0" w:space="0" w:color="auto"/>
          </w:divBdr>
        </w:div>
        <w:div w:id="1676348660">
          <w:marLeft w:val="1166"/>
          <w:marRight w:val="0"/>
          <w:marTop w:val="86"/>
          <w:marBottom w:val="0"/>
          <w:divBdr>
            <w:top w:val="none" w:sz="0" w:space="0" w:color="auto"/>
            <w:left w:val="none" w:sz="0" w:space="0" w:color="auto"/>
            <w:bottom w:val="none" w:sz="0" w:space="0" w:color="auto"/>
            <w:right w:val="none" w:sz="0" w:space="0" w:color="auto"/>
          </w:divBdr>
        </w:div>
      </w:divsChild>
    </w:div>
    <w:div w:id="1934512290">
      <w:bodyDiv w:val="1"/>
      <w:marLeft w:val="0"/>
      <w:marRight w:val="0"/>
      <w:marTop w:val="0"/>
      <w:marBottom w:val="0"/>
      <w:divBdr>
        <w:top w:val="none" w:sz="0" w:space="0" w:color="auto"/>
        <w:left w:val="none" w:sz="0" w:space="0" w:color="auto"/>
        <w:bottom w:val="none" w:sz="0" w:space="0" w:color="auto"/>
        <w:right w:val="none" w:sz="0" w:space="0" w:color="auto"/>
      </w:divBdr>
      <w:divsChild>
        <w:div w:id="116458779">
          <w:marLeft w:val="547"/>
          <w:marRight w:val="0"/>
          <w:marTop w:val="96"/>
          <w:marBottom w:val="0"/>
          <w:divBdr>
            <w:top w:val="none" w:sz="0" w:space="0" w:color="auto"/>
            <w:left w:val="none" w:sz="0" w:space="0" w:color="auto"/>
            <w:bottom w:val="none" w:sz="0" w:space="0" w:color="auto"/>
            <w:right w:val="none" w:sz="0" w:space="0" w:color="auto"/>
          </w:divBdr>
        </w:div>
        <w:div w:id="143738721">
          <w:marLeft w:val="1800"/>
          <w:marRight w:val="0"/>
          <w:marTop w:val="77"/>
          <w:marBottom w:val="0"/>
          <w:divBdr>
            <w:top w:val="none" w:sz="0" w:space="0" w:color="auto"/>
            <w:left w:val="none" w:sz="0" w:space="0" w:color="auto"/>
            <w:bottom w:val="none" w:sz="0" w:space="0" w:color="auto"/>
            <w:right w:val="none" w:sz="0" w:space="0" w:color="auto"/>
          </w:divBdr>
        </w:div>
        <w:div w:id="253712174">
          <w:marLeft w:val="1166"/>
          <w:marRight w:val="0"/>
          <w:marTop w:val="86"/>
          <w:marBottom w:val="0"/>
          <w:divBdr>
            <w:top w:val="none" w:sz="0" w:space="0" w:color="auto"/>
            <w:left w:val="none" w:sz="0" w:space="0" w:color="auto"/>
            <w:bottom w:val="none" w:sz="0" w:space="0" w:color="auto"/>
            <w:right w:val="none" w:sz="0" w:space="0" w:color="auto"/>
          </w:divBdr>
        </w:div>
        <w:div w:id="816188786">
          <w:marLeft w:val="1166"/>
          <w:marRight w:val="0"/>
          <w:marTop w:val="86"/>
          <w:marBottom w:val="0"/>
          <w:divBdr>
            <w:top w:val="none" w:sz="0" w:space="0" w:color="auto"/>
            <w:left w:val="none" w:sz="0" w:space="0" w:color="auto"/>
            <w:bottom w:val="none" w:sz="0" w:space="0" w:color="auto"/>
            <w:right w:val="none" w:sz="0" w:space="0" w:color="auto"/>
          </w:divBdr>
        </w:div>
        <w:div w:id="978728280">
          <w:marLeft w:val="547"/>
          <w:marRight w:val="0"/>
          <w:marTop w:val="96"/>
          <w:marBottom w:val="0"/>
          <w:divBdr>
            <w:top w:val="none" w:sz="0" w:space="0" w:color="auto"/>
            <w:left w:val="none" w:sz="0" w:space="0" w:color="auto"/>
            <w:bottom w:val="none" w:sz="0" w:space="0" w:color="auto"/>
            <w:right w:val="none" w:sz="0" w:space="0" w:color="auto"/>
          </w:divBdr>
        </w:div>
        <w:div w:id="1223826706">
          <w:marLeft w:val="1166"/>
          <w:marRight w:val="0"/>
          <w:marTop w:val="86"/>
          <w:marBottom w:val="0"/>
          <w:divBdr>
            <w:top w:val="none" w:sz="0" w:space="0" w:color="auto"/>
            <w:left w:val="none" w:sz="0" w:space="0" w:color="auto"/>
            <w:bottom w:val="none" w:sz="0" w:space="0" w:color="auto"/>
            <w:right w:val="none" w:sz="0" w:space="0" w:color="auto"/>
          </w:divBdr>
        </w:div>
        <w:div w:id="1702120667">
          <w:marLeft w:val="1166"/>
          <w:marRight w:val="0"/>
          <w:marTop w:val="86"/>
          <w:marBottom w:val="0"/>
          <w:divBdr>
            <w:top w:val="none" w:sz="0" w:space="0" w:color="auto"/>
            <w:left w:val="none" w:sz="0" w:space="0" w:color="auto"/>
            <w:bottom w:val="none" w:sz="0" w:space="0" w:color="auto"/>
            <w:right w:val="none" w:sz="0" w:space="0" w:color="auto"/>
          </w:divBdr>
        </w:div>
        <w:div w:id="1702244726">
          <w:marLeft w:val="1800"/>
          <w:marRight w:val="0"/>
          <w:marTop w:val="77"/>
          <w:marBottom w:val="0"/>
          <w:divBdr>
            <w:top w:val="none" w:sz="0" w:space="0" w:color="auto"/>
            <w:left w:val="none" w:sz="0" w:space="0" w:color="auto"/>
            <w:bottom w:val="none" w:sz="0" w:space="0" w:color="auto"/>
            <w:right w:val="none" w:sz="0" w:space="0" w:color="auto"/>
          </w:divBdr>
        </w:div>
        <w:div w:id="1853059384">
          <w:marLeft w:val="1166"/>
          <w:marRight w:val="0"/>
          <w:marTop w:val="86"/>
          <w:marBottom w:val="0"/>
          <w:divBdr>
            <w:top w:val="none" w:sz="0" w:space="0" w:color="auto"/>
            <w:left w:val="none" w:sz="0" w:space="0" w:color="auto"/>
            <w:bottom w:val="none" w:sz="0" w:space="0" w:color="auto"/>
            <w:right w:val="none" w:sz="0" w:space="0" w:color="auto"/>
          </w:divBdr>
        </w:div>
        <w:div w:id="1931693616">
          <w:marLeft w:val="1166"/>
          <w:marRight w:val="0"/>
          <w:marTop w:val="86"/>
          <w:marBottom w:val="0"/>
          <w:divBdr>
            <w:top w:val="none" w:sz="0" w:space="0" w:color="auto"/>
            <w:left w:val="none" w:sz="0" w:space="0" w:color="auto"/>
            <w:bottom w:val="none" w:sz="0" w:space="0" w:color="auto"/>
            <w:right w:val="none" w:sz="0" w:space="0" w:color="auto"/>
          </w:divBdr>
        </w:div>
      </w:divsChild>
    </w:div>
    <w:div w:id="1997222941">
      <w:bodyDiv w:val="1"/>
      <w:marLeft w:val="0"/>
      <w:marRight w:val="0"/>
      <w:marTop w:val="0"/>
      <w:marBottom w:val="0"/>
      <w:divBdr>
        <w:top w:val="none" w:sz="0" w:space="0" w:color="auto"/>
        <w:left w:val="none" w:sz="0" w:space="0" w:color="auto"/>
        <w:bottom w:val="none" w:sz="0" w:space="0" w:color="auto"/>
        <w:right w:val="none" w:sz="0" w:space="0" w:color="auto"/>
      </w:divBdr>
    </w:div>
    <w:div w:id="2001081169">
      <w:bodyDiv w:val="1"/>
      <w:marLeft w:val="0"/>
      <w:marRight w:val="0"/>
      <w:marTop w:val="0"/>
      <w:marBottom w:val="0"/>
      <w:divBdr>
        <w:top w:val="none" w:sz="0" w:space="0" w:color="auto"/>
        <w:left w:val="none" w:sz="0" w:space="0" w:color="auto"/>
        <w:bottom w:val="none" w:sz="0" w:space="0" w:color="auto"/>
        <w:right w:val="none" w:sz="0" w:space="0" w:color="auto"/>
      </w:divBdr>
      <w:divsChild>
        <w:div w:id="166020467">
          <w:marLeft w:val="1166"/>
          <w:marRight w:val="0"/>
          <w:marTop w:val="86"/>
          <w:marBottom w:val="0"/>
          <w:divBdr>
            <w:top w:val="none" w:sz="0" w:space="0" w:color="auto"/>
            <w:left w:val="none" w:sz="0" w:space="0" w:color="auto"/>
            <w:bottom w:val="none" w:sz="0" w:space="0" w:color="auto"/>
            <w:right w:val="none" w:sz="0" w:space="0" w:color="auto"/>
          </w:divBdr>
        </w:div>
        <w:div w:id="272448096">
          <w:marLeft w:val="547"/>
          <w:marRight w:val="0"/>
          <w:marTop w:val="96"/>
          <w:marBottom w:val="0"/>
          <w:divBdr>
            <w:top w:val="none" w:sz="0" w:space="0" w:color="auto"/>
            <w:left w:val="none" w:sz="0" w:space="0" w:color="auto"/>
            <w:bottom w:val="none" w:sz="0" w:space="0" w:color="auto"/>
            <w:right w:val="none" w:sz="0" w:space="0" w:color="auto"/>
          </w:divBdr>
        </w:div>
        <w:div w:id="545525058">
          <w:marLeft w:val="547"/>
          <w:marRight w:val="0"/>
          <w:marTop w:val="96"/>
          <w:marBottom w:val="0"/>
          <w:divBdr>
            <w:top w:val="none" w:sz="0" w:space="0" w:color="auto"/>
            <w:left w:val="none" w:sz="0" w:space="0" w:color="auto"/>
            <w:bottom w:val="none" w:sz="0" w:space="0" w:color="auto"/>
            <w:right w:val="none" w:sz="0" w:space="0" w:color="auto"/>
          </w:divBdr>
        </w:div>
        <w:div w:id="940840395">
          <w:marLeft w:val="1166"/>
          <w:marRight w:val="0"/>
          <w:marTop w:val="86"/>
          <w:marBottom w:val="0"/>
          <w:divBdr>
            <w:top w:val="none" w:sz="0" w:space="0" w:color="auto"/>
            <w:left w:val="none" w:sz="0" w:space="0" w:color="auto"/>
            <w:bottom w:val="none" w:sz="0" w:space="0" w:color="auto"/>
            <w:right w:val="none" w:sz="0" w:space="0" w:color="auto"/>
          </w:divBdr>
        </w:div>
        <w:div w:id="1075202963">
          <w:marLeft w:val="547"/>
          <w:marRight w:val="0"/>
          <w:marTop w:val="96"/>
          <w:marBottom w:val="0"/>
          <w:divBdr>
            <w:top w:val="none" w:sz="0" w:space="0" w:color="auto"/>
            <w:left w:val="none" w:sz="0" w:space="0" w:color="auto"/>
            <w:bottom w:val="none" w:sz="0" w:space="0" w:color="auto"/>
            <w:right w:val="none" w:sz="0" w:space="0" w:color="auto"/>
          </w:divBdr>
        </w:div>
        <w:div w:id="1184629546">
          <w:marLeft w:val="1166"/>
          <w:marRight w:val="0"/>
          <w:marTop w:val="86"/>
          <w:marBottom w:val="0"/>
          <w:divBdr>
            <w:top w:val="none" w:sz="0" w:space="0" w:color="auto"/>
            <w:left w:val="none" w:sz="0" w:space="0" w:color="auto"/>
            <w:bottom w:val="none" w:sz="0" w:space="0" w:color="auto"/>
            <w:right w:val="none" w:sz="0" w:space="0" w:color="auto"/>
          </w:divBdr>
        </w:div>
        <w:div w:id="1506630797">
          <w:marLeft w:val="1166"/>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8170622">
      <w:bodyDiv w:val="1"/>
      <w:marLeft w:val="0"/>
      <w:marRight w:val="0"/>
      <w:marTop w:val="0"/>
      <w:marBottom w:val="0"/>
      <w:divBdr>
        <w:top w:val="none" w:sz="0" w:space="0" w:color="auto"/>
        <w:left w:val="none" w:sz="0" w:space="0" w:color="auto"/>
        <w:bottom w:val="none" w:sz="0" w:space="0" w:color="auto"/>
        <w:right w:val="none" w:sz="0" w:space="0" w:color="auto"/>
      </w:divBdr>
      <w:divsChild>
        <w:div w:id="141505872">
          <w:marLeft w:val="547"/>
          <w:marRight w:val="0"/>
          <w:marTop w:val="96"/>
          <w:marBottom w:val="0"/>
          <w:divBdr>
            <w:top w:val="none" w:sz="0" w:space="0" w:color="auto"/>
            <w:left w:val="none" w:sz="0" w:space="0" w:color="auto"/>
            <w:bottom w:val="none" w:sz="0" w:space="0" w:color="auto"/>
            <w:right w:val="none" w:sz="0" w:space="0" w:color="auto"/>
          </w:divBdr>
        </w:div>
        <w:div w:id="1372652230">
          <w:marLeft w:val="1166"/>
          <w:marRight w:val="0"/>
          <w:marTop w:val="86"/>
          <w:marBottom w:val="0"/>
          <w:divBdr>
            <w:top w:val="none" w:sz="0" w:space="0" w:color="auto"/>
            <w:left w:val="none" w:sz="0" w:space="0" w:color="auto"/>
            <w:bottom w:val="none" w:sz="0" w:space="0" w:color="auto"/>
            <w:right w:val="none" w:sz="0" w:space="0" w:color="auto"/>
          </w:divBdr>
        </w:div>
        <w:div w:id="1819833296">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726186">
      <w:bodyDiv w:val="1"/>
      <w:marLeft w:val="0"/>
      <w:marRight w:val="0"/>
      <w:marTop w:val="0"/>
      <w:marBottom w:val="0"/>
      <w:divBdr>
        <w:top w:val="none" w:sz="0" w:space="0" w:color="auto"/>
        <w:left w:val="none" w:sz="0" w:space="0" w:color="auto"/>
        <w:bottom w:val="none" w:sz="0" w:space="0" w:color="auto"/>
        <w:right w:val="none" w:sz="0" w:space="0" w:color="auto"/>
      </w:divBdr>
    </w:div>
    <w:div w:id="2038040031">
      <w:bodyDiv w:val="1"/>
      <w:marLeft w:val="0"/>
      <w:marRight w:val="0"/>
      <w:marTop w:val="0"/>
      <w:marBottom w:val="0"/>
      <w:divBdr>
        <w:top w:val="none" w:sz="0" w:space="0" w:color="auto"/>
        <w:left w:val="none" w:sz="0" w:space="0" w:color="auto"/>
        <w:bottom w:val="none" w:sz="0" w:space="0" w:color="auto"/>
        <w:right w:val="none" w:sz="0" w:space="0" w:color="auto"/>
      </w:divBdr>
      <w:divsChild>
        <w:div w:id="267002956">
          <w:marLeft w:val="1166"/>
          <w:marRight w:val="0"/>
          <w:marTop w:val="67"/>
          <w:marBottom w:val="0"/>
          <w:divBdr>
            <w:top w:val="none" w:sz="0" w:space="0" w:color="auto"/>
            <w:left w:val="none" w:sz="0" w:space="0" w:color="auto"/>
            <w:bottom w:val="none" w:sz="0" w:space="0" w:color="auto"/>
            <w:right w:val="none" w:sz="0" w:space="0" w:color="auto"/>
          </w:divBdr>
        </w:div>
      </w:divsChild>
    </w:div>
    <w:div w:id="2056807352">
      <w:bodyDiv w:val="1"/>
      <w:marLeft w:val="0"/>
      <w:marRight w:val="0"/>
      <w:marTop w:val="0"/>
      <w:marBottom w:val="0"/>
      <w:divBdr>
        <w:top w:val="none" w:sz="0" w:space="0" w:color="auto"/>
        <w:left w:val="none" w:sz="0" w:space="0" w:color="auto"/>
        <w:bottom w:val="none" w:sz="0" w:space="0" w:color="auto"/>
        <w:right w:val="none" w:sz="0" w:space="0" w:color="auto"/>
      </w:divBdr>
      <w:divsChild>
        <w:div w:id="302124379">
          <w:marLeft w:val="547"/>
          <w:marRight w:val="0"/>
          <w:marTop w:val="96"/>
          <w:marBottom w:val="0"/>
          <w:divBdr>
            <w:top w:val="none" w:sz="0" w:space="0" w:color="auto"/>
            <w:left w:val="none" w:sz="0" w:space="0" w:color="auto"/>
            <w:bottom w:val="none" w:sz="0" w:space="0" w:color="auto"/>
            <w:right w:val="none" w:sz="0" w:space="0" w:color="auto"/>
          </w:divBdr>
        </w:div>
        <w:div w:id="678115899">
          <w:marLeft w:val="1800"/>
          <w:marRight w:val="0"/>
          <w:marTop w:val="77"/>
          <w:marBottom w:val="0"/>
          <w:divBdr>
            <w:top w:val="none" w:sz="0" w:space="0" w:color="auto"/>
            <w:left w:val="none" w:sz="0" w:space="0" w:color="auto"/>
            <w:bottom w:val="none" w:sz="0" w:space="0" w:color="auto"/>
            <w:right w:val="none" w:sz="0" w:space="0" w:color="auto"/>
          </w:divBdr>
        </w:div>
        <w:div w:id="865945319">
          <w:marLeft w:val="1166"/>
          <w:marRight w:val="0"/>
          <w:marTop w:val="86"/>
          <w:marBottom w:val="0"/>
          <w:divBdr>
            <w:top w:val="none" w:sz="0" w:space="0" w:color="auto"/>
            <w:left w:val="none" w:sz="0" w:space="0" w:color="auto"/>
            <w:bottom w:val="none" w:sz="0" w:space="0" w:color="auto"/>
            <w:right w:val="none" w:sz="0" w:space="0" w:color="auto"/>
          </w:divBdr>
        </w:div>
        <w:div w:id="1865095315">
          <w:marLeft w:val="1800"/>
          <w:marRight w:val="0"/>
          <w:marTop w:val="77"/>
          <w:marBottom w:val="0"/>
          <w:divBdr>
            <w:top w:val="none" w:sz="0" w:space="0" w:color="auto"/>
            <w:left w:val="none" w:sz="0" w:space="0" w:color="auto"/>
            <w:bottom w:val="none" w:sz="0" w:space="0" w:color="auto"/>
            <w:right w:val="none" w:sz="0" w:space="0" w:color="auto"/>
          </w:divBdr>
        </w:div>
      </w:divsChild>
    </w:div>
    <w:div w:id="2112428018">
      <w:bodyDiv w:val="1"/>
      <w:marLeft w:val="0"/>
      <w:marRight w:val="0"/>
      <w:marTop w:val="0"/>
      <w:marBottom w:val="0"/>
      <w:divBdr>
        <w:top w:val="none" w:sz="0" w:space="0" w:color="auto"/>
        <w:left w:val="none" w:sz="0" w:space="0" w:color="auto"/>
        <w:bottom w:val="none" w:sz="0" w:space="0" w:color="auto"/>
        <w:right w:val="none" w:sz="0" w:space="0" w:color="auto"/>
      </w:divBdr>
      <w:divsChild>
        <w:div w:id="1022127511">
          <w:marLeft w:val="547"/>
          <w:marRight w:val="0"/>
          <w:marTop w:val="96"/>
          <w:marBottom w:val="0"/>
          <w:divBdr>
            <w:top w:val="none" w:sz="0" w:space="0" w:color="auto"/>
            <w:left w:val="none" w:sz="0" w:space="0" w:color="auto"/>
            <w:bottom w:val="none" w:sz="0" w:space="0" w:color="auto"/>
            <w:right w:val="none" w:sz="0" w:space="0" w:color="auto"/>
          </w:divBdr>
        </w:div>
        <w:div w:id="1230842219">
          <w:marLeft w:val="1166"/>
          <w:marRight w:val="0"/>
          <w:marTop w:val="86"/>
          <w:marBottom w:val="0"/>
          <w:divBdr>
            <w:top w:val="none" w:sz="0" w:space="0" w:color="auto"/>
            <w:left w:val="none" w:sz="0" w:space="0" w:color="auto"/>
            <w:bottom w:val="none" w:sz="0" w:space="0" w:color="auto"/>
            <w:right w:val="none" w:sz="0" w:space="0" w:color="auto"/>
          </w:divBdr>
        </w:div>
        <w:div w:id="1495099144">
          <w:marLeft w:val="1166"/>
          <w:marRight w:val="0"/>
          <w:marTop w:val="86"/>
          <w:marBottom w:val="0"/>
          <w:divBdr>
            <w:top w:val="none" w:sz="0" w:space="0" w:color="auto"/>
            <w:left w:val="none" w:sz="0" w:space="0" w:color="auto"/>
            <w:bottom w:val="none" w:sz="0" w:space="0" w:color="auto"/>
            <w:right w:val="none" w:sz="0" w:space="0" w:color="auto"/>
          </w:divBdr>
        </w:div>
        <w:div w:id="1739358107">
          <w:marLeft w:val="1166"/>
          <w:marRight w:val="0"/>
          <w:marTop w:val="86"/>
          <w:marBottom w:val="0"/>
          <w:divBdr>
            <w:top w:val="none" w:sz="0" w:space="0" w:color="auto"/>
            <w:left w:val="none" w:sz="0" w:space="0" w:color="auto"/>
            <w:bottom w:val="none" w:sz="0" w:space="0" w:color="auto"/>
            <w:right w:val="none" w:sz="0" w:space="0" w:color="auto"/>
          </w:divBdr>
        </w:div>
        <w:div w:id="1767118608">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D05A4-86AE-4035-B2D6-9EFC1CB6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2773</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Lixiang (Tricia)</dc:creator>
  <cp:keywords/>
  <dc:description/>
  <cp:lastModifiedBy>Huawei</cp:lastModifiedBy>
  <cp:revision>3</cp:revision>
  <cp:lastPrinted>2009-04-22T01:01:00Z</cp:lastPrinted>
  <dcterms:created xsi:type="dcterms:W3CDTF">2020-08-07T19:39:00Z</dcterms:created>
  <dcterms:modified xsi:type="dcterms:W3CDTF">2020-08-07T19:39:00Z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(3)Jh1Rl3C918Iym5XMudiRMm0gRVfUic7buwAQ8Yac84gNIGD+VQvxCBPjBQTb3A+0UwYxxrv6_x000d_
RX+TvHQwx+lEcvRkhcc04YWcSr5uJAVPtq35mD9FeRE4LRS1/dexYyH3c+CfYg2ovuIeWD2d_x000d_
w/1nmKSwCYFmirIemyes4Q/Wr907QkKNTy3kXZkWcAqRPQHVwIJzWlsR4k5orkqVDlcYjIPc_x000d_
lPdoZ11O14lEfHRnot</vt:lpwstr>
  </property>
  <property fmtid="{D5CDD505-2E9C-101B-9397-08002B2CF9AE}" pid="17" name="_2015_ms_pID_725343_00">
    <vt:lpwstr>_2015_ms_pID_725343</vt:lpwstr>
  </property>
  <property fmtid="{D5CDD505-2E9C-101B-9397-08002B2CF9AE}" pid="18" name="_2015_ms_pID_7253431">
    <vt:lpwstr>7TzroGg/Llclzgx1luMrlPJWHO1fmk0Za2od9q53HXxAqWtjA4bIBV_x000d_
50vc9RVlTZu6guNjfHaHEgq+S/ARKAjBRzYK/NgbiopZkaAJSNke960mnJoxY7m0sT206Fey_x000d_
v+CSxIVQYVIzXMBZF/vslkdpFuXVkcNID+q0aXPgMki5n75Y8z+QcMYCaKJFXvb9bmaxD77f_x000d_
cNDh2cPihuOBCQoTfzJUC/Nv+9arIhv7HXaF</vt:lpwstr>
  </property>
  <property fmtid="{D5CDD505-2E9C-101B-9397-08002B2CF9AE}" pid="19" name="_2015_ms_pID_7253431_00">
    <vt:lpwstr>_2015_ms_pID_7253431</vt:lpwstr>
  </property>
  <property fmtid="{D5CDD505-2E9C-101B-9397-08002B2CF9AE}" pid="20" name="_2015_ms_pID_7253432">
    <vt:lpwstr>Tigo0Rv2WMdEWiAeYGmMWpQ5V1PSyQEIjDci_x000d_
uDuVKSWnlDgMM7boO5biKeetpLtlcwxA+PHZ2+NoUKGq0rnQJ+w=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1586146932</vt:lpwstr>
  </property>
</Properties>
</file>